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10" w:space="0" w:color="1F4E78"/>
          <w:left w:val="single" w:sz="10" w:space="0" w:color="1F4E78"/>
          <w:bottom w:val="single" w:sz="10" w:space="0" w:color="1F4E78"/>
          <w:right w:val="single" w:sz="10" w:space="0" w:color="1F4E78"/>
          <w:insideH w:val="single" w:sz="10" w:space="0" w:color="1F4E78"/>
          <w:insideV w:val="single" w:sz="10" w:space="0" w:color="1F4E78"/>
        </w:tblBorders>
      </w:tblPr>
      <w:tblGrid>
        <w:gridCol w:w="9525"/>
      </w:tblGrid>
      <w:tr>
        <w:tc>
          <w:tcPr>
            <w:tcW w:type="dxa" w:w="9525"/>
            <w:shd w:fill="1F4E78"/>
            <w:tcMar>
              <w:top w:w="110" w:type="dxa"/>
              <w:start w:w="90" w:type="dxa"/>
              <w:bottom w:w="110" w:type="dxa"/>
              <w:end w:w="9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22"/>
              </w:rPr>
              <w:t>DOKUMEN SOP BUMDes</w:t>
            </w:r>
          </w:p>
        </w:tc>
      </w:tr>
    </w:tbl>
    <w:p>
      <w:pPr>
        <w:spacing w:before="200" w:after="40"/>
        <w:jc w:val="center"/>
      </w:pPr>
      <w:r>
        <w:rPr>
          <w:b/>
          <w:color w:val="1F4E79"/>
          <w:sz w:val="32"/>
        </w:rPr>
        <w:t>SOP Penjualan, Layanan, dan Penagihan BUMDes</w:t>
      </w:r>
    </w:p>
    <w:p>
      <w:pPr>
        <w:spacing w:after="240"/>
        <w:jc w:val="center"/>
      </w:pPr>
      <w:r>
        <w:rPr>
          <w:i/>
          <w:color w:val="595959"/>
          <w:sz w:val="20"/>
        </w:rPr>
        <w:t>Prosedur operasional standar proses transaksi, bukti penjualan, piutang pelanggan, jatuh tempo, dan mekanisme tindak lanjut penagihan.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AFC1D1"/>
          <w:left w:val="single" w:sz="6" w:space="0" w:color="AFC1D1"/>
          <w:bottom w:val="single" w:sz="6" w:space="0" w:color="AFC1D1"/>
          <w:right w:val="single" w:sz="6" w:space="0" w:color="AFC1D1"/>
          <w:insideH w:val="single" w:sz="6" w:space="0" w:color="AFC1D1"/>
          <w:insideV w:val="single" w:sz="6" w:space="0" w:color="AFC1D1"/>
        </w:tblBorders>
      </w:tblPr>
      <w:tblGrid>
        <w:gridCol w:w="4762"/>
        <w:gridCol w:w="4762"/>
      </w:tblGrid>
      <w:tr>
        <w:tc>
          <w:tcPr>
            <w:tcW w:type="dxa" w:w="255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7FB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Kode Dokumen</w:t>
            </w:r>
          </w:p>
        </w:tc>
        <w:tc>
          <w:tcPr>
            <w:tcW w:type="dxa" w:w="669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7FB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SOP/BUMDES/14</w:t>
            </w:r>
          </w:p>
        </w:tc>
      </w:tr>
      <w:tr>
        <w:tc>
          <w:tcPr>
            <w:tcW w:type="dxa" w:w="255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7FB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Klasifikasi</w:t>
            </w:r>
          </w:p>
        </w:tc>
        <w:tc>
          <w:tcPr>
            <w:tcW w:type="dxa" w:w="669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7FB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Standar Operasional Prosedur</w:t>
            </w:r>
          </w:p>
        </w:tc>
      </w:tr>
      <w:tr>
        <w:tc>
          <w:tcPr>
            <w:tcW w:type="dxa" w:w="255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7FB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Status</w:t>
            </w:r>
          </w:p>
        </w:tc>
        <w:tc>
          <w:tcPr>
            <w:tcW w:type="dxa" w:w="669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7FB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Template siap pakai</w:t>
            </w:r>
          </w:p>
        </w:tc>
      </w:tr>
      <w:tr>
        <w:tc>
          <w:tcPr>
            <w:tcW w:type="dxa" w:w="255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7FB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Catatan</w:t>
            </w:r>
          </w:p>
        </w:tc>
        <w:tc>
          <w:tcPr>
            <w:tcW w:type="dxa" w:w="669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7FB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Dapat disesuaikan dengan Perdes, keputusan desa, dan struktur organisasi BUMDes setempat.</w:t>
            </w:r>
          </w:p>
        </w:tc>
      </w:tr>
    </w:tbl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AFC1D1"/>
          <w:left w:val="single" w:sz="6" w:space="0" w:color="AFC1D1"/>
          <w:bottom w:val="single" w:sz="6" w:space="0" w:color="AFC1D1"/>
          <w:right w:val="single" w:sz="6" w:space="0" w:color="AFC1D1"/>
          <w:insideH w:val="single" w:sz="6" w:space="0" w:color="AFC1D1"/>
          <w:insideV w:val="single" w:sz="6" w:space="0" w:color="AFC1D1"/>
        </w:tblBorders>
      </w:tblPr>
      <w:tblGrid>
        <w:gridCol w:w="2381"/>
        <w:gridCol w:w="2381"/>
        <w:gridCol w:w="2381"/>
        <w:gridCol w:w="2381"/>
      </w:tblGrid>
      <w:tr>
        <w:tc>
          <w:tcPr>
            <w:tcW w:type="dxa" w:w="1814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Unit Penyusun</w:t>
            </w:r>
          </w:p>
        </w:tc>
        <w:tc>
          <w:tcPr>
            <w:tcW w:type="dxa" w:w="357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BUMDes / Pemerintah Desa</w:t>
            </w:r>
          </w:p>
        </w:tc>
        <w:tc>
          <w:tcPr>
            <w:tcW w:type="dxa" w:w="1814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Nomor Revisi</w:t>
            </w:r>
          </w:p>
        </w:tc>
        <w:tc>
          <w:tcPr>
            <w:tcW w:type="dxa" w:w="2268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........</w:t>
            </w:r>
          </w:p>
        </w:tc>
      </w:tr>
      <w:tr>
        <w:tc>
          <w:tcPr>
            <w:tcW w:type="dxa" w:w="1814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Tanggal Berlaku</w:t>
            </w:r>
          </w:p>
        </w:tc>
        <w:tc>
          <w:tcPr>
            <w:tcW w:type="dxa" w:w="357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........</w:t>
            </w:r>
          </w:p>
        </w:tc>
        <w:tc>
          <w:tcPr>
            <w:tcW w:type="dxa" w:w="1814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Halaman</w:t>
            </w:r>
          </w:p>
        </w:tc>
        <w:tc>
          <w:tcPr>
            <w:tcW w:type="dxa" w:w="2268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Sesuai file</w:t>
            </w:r>
          </w:p>
        </w:tc>
      </w:tr>
      <w:tr>
        <w:tc>
          <w:tcPr>
            <w:tcW w:type="dxa" w:w="1814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Disahkan oleh</w:t>
            </w:r>
          </w:p>
        </w:tc>
        <w:tc>
          <w:tcPr>
            <w:tcW w:type="dxa" w:w="357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........</w:t>
            </w:r>
          </w:p>
        </w:tc>
        <w:tc>
          <w:tcPr>
            <w:tcW w:type="dxa" w:w="1814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Dikendalikan oleh</w:t>
            </w:r>
          </w:p>
        </w:tc>
        <w:tc>
          <w:tcPr>
            <w:tcW w:type="dxa" w:w="2268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........</w:t>
            </w:r>
          </w:p>
        </w:tc>
      </w:tr>
      <w:tr>
        <w:tc>
          <w:tcPr>
            <w:tcW w:type="dxa" w:w="1814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Distribusi</w:t>
            </w:r>
          </w:p>
        </w:tc>
        <w:tc>
          <w:tcPr>
            <w:tcW w:type="dxa" w:w="357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Pengawas, Pelaksana Operasional, Unit Usaha</w:t>
            </w:r>
          </w:p>
        </w:tc>
        <w:tc>
          <w:tcPr>
            <w:tcW w:type="dxa" w:w="1814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Klasifikasi</w:t>
            </w:r>
          </w:p>
        </w:tc>
        <w:tc>
          <w:tcPr>
            <w:tcW w:type="dxa" w:w="2268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Internal Terkendali</w:t>
            </w:r>
          </w:p>
        </w:tc>
      </w:tr>
    </w:tbl>
    <w:p>
      <w:pPr>
        <w:spacing w:before="160" w:after="80"/>
      </w:pPr>
      <w:r>
        <w:rPr>
          <w:b/>
          <w:color w:val="1F4E79"/>
          <w:sz w:val="22"/>
        </w:rPr>
        <w:t>A. Informasi Dokumen</w:t>
      </w:r>
    </w:p>
    <w:p>
      <w:pPr>
        <w:spacing w:before="160" w:after="80"/>
      </w:pPr>
      <w:r>
        <w:rPr>
          <w:b/>
          <w:color w:val="1F4E79"/>
          <w:sz w:val="22"/>
        </w:rPr>
        <w:t>B. Tujuan</w:t>
      </w:r>
    </w:p>
    <w:p>
      <w:pPr>
        <w:spacing w:after="100" w:line="276" w:lineRule="auto"/>
        <w:jc w:val="both"/>
      </w:pPr>
      <w:r>
        <w:t>Menetapkan tata cara penjualan dan layanan kepada pelanggan secara tertib, ramah, dan terdokumentasi sekaligus mengendalikan piutang agar omzet benar-benar berubah menjadi kas yang masuk.</w:t>
      </w:r>
    </w:p>
    <w:p>
      <w:pPr>
        <w:spacing w:before="160" w:after="80"/>
      </w:pPr>
      <w:r>
        <w:rPr>
          <w:b/>
          <w:color w:val="1F4E79"/>
          <w:sz w:val="22"/>
        </w:rPr>
        <w:t>C. Ruang Lingkup</w:t>
      </w:r>
    </w:p>
    <w:p>
      <w:pPr>
        <w:spacing w:after="100" w:line="276" w:lineRule="auto"/>
        <w:jc w:val="both"/>
      </w:pPr>
      <w:r>
        <w:t>Berlaku untuk penjualan tunai maupun kredit, penyerahan barang, penyediaan jasa/layanan, penerbitan invoice, pencatatan piutang, dan penagihan atas pelanggan BUMDes.</w:t>
      </w:r>
    </w:p>
    <w:p>
      <w:pPr>
        <w:spacing w:before="160" w:after="80"/>
      </w:pPr>
      <w:r>
        <w:rPr>
          <w:b/>
          <w:color w:val="1F4E79"/>
          <w:sz w:val="22"/>
        </w:rPr>
        <w:t>D. Dasar Hukum dan Acuan</w:t>
      </w:r>
    </w:p>
    <w:p>
      <w:pPr>
        <w:pStyle w:val="ListBullet"/>
        <w:spacing w:after="40" w:line="264" w:lineRule="auto"/>
      </w:pPr>
      <w:r>
        <w:t>Undang-Undang Nomor 6 Tahun 2014 tentang Desa beserta perubahan yang berlaku.</w:t>
      </w:r>
    </w:p>
    <w:p>
      <w:pPr>
        <w:pStyle w:val="ListBullet"/>
        <w:spacing w:after="40" w:line="264" w:lineRule="auto"/>
      </w:pPr>
      <w:r>
        <w:t>Peraturan Pemerintah Nomor 11 Tahun 2021 tentang Badan Usaha Milik Desa, yang mengatur pendirian, AD/ART, organisasi dan pegawai, rencana program kerja, kepemilikan, modal, aset dan pinjaman, unit usaha, pengadaan barang/jasa, kerja sama, pertanggungjawaban, pembagian hasil usaha, kerugian, penghentian kegiatan usaha, serta pembinaan dan pengembangan BUM Desa/BUM Desa Bersama.</w:t>
      </w:r>
    </w:p>
    <w:p>
      <w:pPr>
        <w:pStyle w:val="ListBullet"/>
        <w:spacing w:after="40" w:line="264" w:lineRule="auto"/>
      </w:pPr>
      <w:r>
        <w:t>Peraturan Menteri Desa, PDT, dan Transmigrasi Nomor 3 Tahun 2021 tentang pendaftaran, pendataan dan pemeringkatan, pembinaan dan pengembangan, dan pengadaan barang dan/atau jasa BUM Desa/BUM Desa Bersama.</w:t>
      </w:r>
    </w:p>
    <w:p>
      <w:pPr>
        <w:pStyle w:val="ListBullet"/>
        <w:spacing w:after="40" w:line="264" w:lineRule="auto"/>
      </w:pPr>
      <w:r>
        <w:t>Peraturan desa, keputusan kepala desa, keputusan penasihat/pengawas, serta kebijakan internal BUMDes yang relevan.</w:t>
      </w:r>
    </w:p>
    <w:p>
      <w:pPr>
        <w:spacing w:before="160" w:after="80"/>
      </w:pPr>
      <w:r>
        <w:rPr>
          <w:b/>
          <w:color w:val="1F4E79"/>
          <w:sz w:val="22"/>
        </w:rPr>
        <w:t>E. Definisi Singkat</w:t>
      </w:r>
    </w:p>
    <w:p>
      <w:pPr>
        <w:pStyle w:val="ListBullet"/>
        <w:spacing w:after="40" w:line="264" w:lineRule="auto"/>
      </w:pPr>
      <w:r>
        <w:t>Penjualan tunai adalah transaksi yang dibayar lunas pada saat barang/jasa diserahkan.</w:t>
      </w:r>
    </w:p>
    <w:p>
      <w:pPr>
        <w:pStyle w:val="ListBullet"/>
        <w:spacing w:after="40" w:line="264" w:lineRule="auto"/>
      </w:pPr>
      <w:r>
        <w:t>Penjualan kredit/piutang adalah transaksi yang pembayarannya dilakukan setelah barang/jasa diserahkan sesuai termin atau jatuh tempo.</w:t>
      </w:r>
    </w:p>
    <w:p>
      <w:pPr>
        <w:pStyle w:val="ListBullet"/>
        <w:spacing w:after="40" w:line="264" w:lineRule="auto"/>
      </w:pPr>
      <w:r>
        <w:t>Invoice/tagihan adalah dokumen penagihan resmi yang memuat rincian transaksi dan tanggal jatuh tempo.</w:t>
      </w:r>
    </w:p>
    <w:p>
      <w:pPr>
        <w:pStyle w:val="ListBullet"/>
        <w:spacing w:after="40" w:line="264" w:lineRule="auto"/>
      </w:pPr>
      <w:r>
        <w:t>Tindak lanjut penagihan adalah serangkaian langkah pengingat dan eskalasi untuk mendorong pelanggan melunasi kewajibannya.</w:t>
      </w:r>
    </w:p>
    <w:p>
      <w:pPr>
        <w:spacing w:before="160" w:after="80"/>
      </w:pPr>
      <w:r>
        <w:rPr>
          <w:b/>
          <w:color w:val="1F4E79"/>
          <w:sz w:val="22"/>
        </w:rPr>
        <w:t>F. Pihak Terkait dan Tanggung Jawab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AFC1D1"/>
          <w:left w:val="single" w:sz="6" w:space="0" w:color="AFC1D1"/>
          <w:bottom w:val="single" w:sz="6" w:space="0" w:color="AFC1D1"/>
          <w:right w:val="single" w:sz="6" w:space="0" w:color="AFC1D1"/>
          <w:insideH w:val="single" w:sz="6" w:space="0" w:color="AFC1D1"/>
          <w:insideV w:val="single" w:sz="6" w:space="0" w:color="AFC1D1"/>
        </w:tblBorders>
      </w:tblPr>
      <w:tblGrid>
        <w:gridCol w:w="4762"/>
        <w:gridCol w:w="4762"/>
      </w:tblGrid>
      <w:tr>
        <w:tc>
          <w:tcPr>
            <w:tcW w:type="dxa" w:w="238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9"/>
              </w:rPr>
              <w:t>Pihak</w:t>
            </w:r>
          </w:p>
        </w:tc>
        <w:tc>
          <w:tcPr>
            <w:tcW w:type="dxa" w:w="686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9"/>
              </w:rPr>
              <w:t>Tanggung Jawab Utama</w:t>
            </w:r>
          </w:p>
        </w:tc>
      </w:tr>
      <w:tr>
        <w:tc>
          <w:tcPr>
            <w:tcW w:type="dxa" w:w="238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Pelaksana Operasional</w:t>
            </w:r>
          </w:p>
        </w:tc>
        <w:tc>
          <w:tcPr>
            <w:tcW w:type="dxa" w:w="686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Menetapkan kebijakan harga, batas kredit, diskon, serta tindak lanjut atas piutang bermasalah.</w:t>
            </w:r>
          </w:p>
        </w:tc>
      </w:tr>
      <w:tr>
        <w:tc>
          <w:tcPr>
            <w:tcW w:type="dxa" w:w="238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Petugas Penjualan/Kasir</w:t>
            </w:r>
          </w:p>
        </w:tc>
        <w:tc>
          <w:tcPr>
            <w:tcW w:type="dxa" w:w="686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Melayani pelanggan, membuat bukti transaksi, dan memastikan transaksi tercatat akurat.</w:t>
            </w:r>
          </w:p>
        </w:tc>
      </w:tr>
      <w:tr>
        <w:tc>
          <w:tcPr>
            <w:tcW w:type="dxa" w:w="238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Admin Piutang/Keuangan</w:t>
            </w:r>
          </w:p>
        </w:tc>
        <w:tc>
          <w:tcPr>
            <w:tcW w:type="dxa" w:w="686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Menerbitkan invoice, memantau jatuh tempo, mencatat penerimaan, dan melakukan follow-up penagihan.</w:t>
            </w:r>
          </w:p>
        </w:tc>
      </w:tr>
      <w:tr>
        <w:tc>
          <w:tcPr>
            <w:tcW w:type="dxa" w:w="238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Unit Layanan / Pengirim</w:t>
            </w:r>
          </w:p>
        </w:tc>
        <w:tc>
          <w:tcPr>
            <w:tcW w:type="dxa" w:w="686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Menyerahkan barang/jasa sesuai pesanan dan mendokumentasikan bukti serah terima.</w:t>
            </w:r>
          </w:p>
        </w:tc>
      </w:tr>
      <w:tr>
        <w:tc>
          <w:tcPr>
            <w:tcW w:type="dxa" w:w="238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Pengawas</w:t>
            </w:r>
          </w:p>
        </w:tc>
        <w:tc>
          <w:tcPr>
            <w:tcW w:type="dxa" w:w="686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Menelaah kualitas penagihan dan tren piutang sebagai bagian dari pengendalian usaha.</w:t>
            </w:r>
          </w:p>
        </w:tc>
      </w:tr>
    </w:tbl>
    <w:p>
      <w:pPr>
        <w:spacing w:before="160" w:after="80"/>
      </w:pPr>
      <w:r>
        <w:rPr>
          <w:b/>
          <w:color w:val="1F4E79"/>
          <w:sz w:val="22"/>
        </w:rPr>
        <w:t>G. Prosedur Kerja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AFC1D1"/>
          <w:left w:val="single" w:sz="6" w:space="0" w:color="AFC1D1"/>
          <w:bottom w:val="single" w:sz="6" w:space="0" w:color="AFC1D1"/>
          <w:right w:val="single" w:sz="6" w:space="0" w:color="AFC1D1"/>
          <w:insideH w:val="single" w:sz="6" w:space="0" w:color="AFC1D1"/>
          <w:insideV w:val="single" w:sz="6" w:space="0" w:color="AFC1D1"/>
        </w:tblBorders>
      </w:tblPr>
      <w:tblGrid>
        <w:gridCol w:w="1587"/>
        <w:gridCol w:w="1587"/>
        <w:gridCol w:w="1587"/>
        <w:gridCol w:w="1587"/>
        <w:gridCol w:w="1587"/>
        <w:gridCol w:w="1587"/>
      </w:tblGrid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Tahap</w:t>
            </w:r>
          </w:p>
        </w:tc>
        <w:tc>
          <w:tcPr>
            <w:tcW w:type="dxa" w:w="3969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Uraian Kegiatan</w:t>
            </w:r>
          </w:p>
        </w:tc>
        <w:tc>
          <w:tcPr>
            <w:tcW w:type="dxa" w:w="136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PIC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Output</w:t>
            </w:r>
          </w:p>
        </w:tc>
        <w:tc>
          <w:tcPr>
            <w:tcW w:type="dxa" w:w="113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Batas Waktu</w:t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1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Penerimaan pesanan</w:t>
            </w:r>
          </w:p>
        </w:tc>
        <w:tc>
          <w:tcPr>
            <w:tcW w:type="dxa" w:w="3969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Pesanan diterima dan diverifikasi terkait jenis barang/jasa, kuantitas, harga, syarat penyerahan, dan metode bayar.</w:t>
            </w:r>
          </w:p>
        </w:tc>
        <w:tc>
          <w:tcPr>
            <w:tcW w:type="dxa" w:w="136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Petugas Penjualan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Order / nota pesanan</w:t>
            </w:r>
          </w:p>
        </w:tc>
        <w:tc>
          <w:tcPr>
            <w:tcW w:type="dxa" w:w="113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Saat ada pesanan</w:t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2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Pemeriksaan stok/kesiapan layanan</w:t>
            </w:r>
          </w:p>
        </w:tc>
        <w:tc>
          <w:tcPr>
            <w:tcW w:type="dxa" w:w="3969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Dicek ketersediaan barang atau kesiapan layanan sebelum transaksi dikonfirmasi kepada pelanggan.</w:t>
            </w:r>
          </w:p>
        </w:tc>
        <w:tc>
          <w:tcPr>
            <w:tcW w:type="dxa" w:w="136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Petugas / Unit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Konfirmasi kesiapan</w:t>
            </w:r>
          </w:p>
        </w:tc>
        <w:tc>
          <w:tcPr>
            <w:tcW w:type="dxa" w:w="113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Saat order diproses</w:t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3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Penerbitan bukti transaksi</w:t>
            </w:r>
          </w:p>
        </w:tc>
        <w:tc>
          <w:tcPr>
            <w:tcW w:type="dxa" w:w="3969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Dibuat nota, invoice, kwitansi, atau bukti transaksi lain sesuai jenis pembayaran.</w:t>
            </w:r>
          </w:p>
        </w:tc>
        <w:tc>
          <w:tcPr>
            <w:tcW w:type="dxa" w:w="136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Kasir/Admin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Bukti penjualan</w:t>
            </w:r>
          </w:p>
        </w:tc>
        <w:tc>
          <w:tcPr>
            <w:tcW w:type="dxa" w:w="113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Saat transaksi</w:t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4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Penyerahan barang/jasa</w:t>
            </w:r>
          </w:p>
        </w:tc>
        <w:tc>
          <w:tcPr>
            <w:tcW w:type="dxa" w:w="3969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Barang/jasa diserahkan dengan bukti serah terima bila diperlukan, khususnya untuk transaksi kredit atau volume besar.</w:t>
            </w:r>
          </w:p>
        </w:tc>
        <w:tc>
          <w:tcPr>
            <w:tcW w:type="dxa" w:w="136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Unit Layanan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Bukti serah terima</w:t>
            </w:r>
          </w:p>
        </w:tc>
        <w:tc>
          <w:tcPr>
            <w:tcW w:type="dxa" w:w="113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Sesuai jadwal</w:t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5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Pencatatan piutang</w:t>
            </w:r>
          </w:p>
        </w:tc>
        <w:tc>
          <w:tcPr>
            <w:tcW w:type="dxa" w:w="3969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Transaksi kredit dicatat lengkap dengan nilai, pelanggan, termin, dan tanggal jatuh tempo.</w:t>
            </w:r>
          </w:p>
        </w:tc>
        <w:tc>
          <w:tcPr>
            <w:tcW w:type="dxa" w:w="136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Admin Piutang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Daftar piutang</w:t>
            </w:r>
          </w:p>
        </w:tc>
        <w:tc>
          <w:tcPr>
            <w:tcW w:type="dxa" w:w="113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Hari yang sama</w:t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6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Monitoring jatuh tempo</w:t>
            </w:r>
          </w:p>
        </w:tc>
        <w:tc>
          <w:tcPr>
            <w:tcW w:type="dxa" w:w="3969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Piutang dipantau harian/mingguan untuk mengidentifikasi tagihan yang mendekati atau melewati jatuh tempo.</w:t>
            </w:r>
          </w:p>
        </w:tc>
        <w:tc>
          <w:tcPr>
            <w:tcW w:type="dxa" w:w="136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Admin Piutang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Daftar aging piutang</w:t>
            </w:r>
          </w:p>
        </w:tc>
        <w:tc>
          <w:tcPr>
            <w:tcW w:type="dxa" w:w="113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Rutin</w:t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7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Follow-up penagihan</w:t>
            </w:r>
          </w:p>
        </w:tc>
        <w:tc>
          <w:tcPr>
            <w:tcW w:type="dxa" w:w="3969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Dilakukan pengingat sopan melalui telepon/pesan/surat, lalu eskalasi sesuai kebijakan bila pelanggan belum membayar.</w:t>
            </w:r>
          </w:p>
        </w:tc>
        <w:tc>
          <w:tcPr>
            <w:tcW w:type="dxa" w:w="136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Admin Piutang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Log penagihan</w:t>
            </w:r>
          </w:p>
        </w:tc>
        <w:tc>
          <w:tcPr>
            <w:tcW w:type="dxa" w:w="113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Sesuai jadwal</w:t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8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Penerimaan pelunasan dan penutupan</w:t>
            </w:r>
          </w:p>
        </w:tc>
        <w:tc>
          <w:tcPr>
            <w:tcW w:type="dxa" w:w="3969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Pembayaran diterima, dicatat, dan piutang ditutup bila telah lunas; kasus macet dilaporkan untuk keputusan lebih lanjut.</w:t>
            </w:r>
          </w:p>
        </w:tc>
        <w:tc>
          <w:tcPr>
            <w:tcW w:type="dxa" w:w="136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Admin/Keuangan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Bukti pelunasan</w:t>
            </w:r>
          </w:p>
        </w:tc>
        <w:tc>
          <w:tcPr>
            <w:tcW w:type="dxa" w:w="113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Saat pembayaran diterima</w:t>
            </w:r>
          </w:p>
        </w:tc>
      </w:tr>
    </w:tbl>
    <w:p>
      <w:pPr>
        <w:spacing w:before="160" w:after="80"/>
      </w:pPr>
      <w:r>
        <w:rPr>
          <w:b/>
          <w:color w:val="1F4E79"/>
          <w:sz w:val="22"/>
        </w:rPr>
        <w:t>H. Checklist Implementasi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AFC1D1"/>
          <w:left w:val="single" w:sz="6" w:space="0" w:color="AFC1D1"/>
          <w:bottom w:val="single" w:sz="6" w:space="0" w:color="AFC1D1"/>
          <w:right w:val="single" w:sz="6" w:space="0" w:color="AFC1D1"/>
          <w:insideH w:val="single" w:sz="6" w:space="0" w:color="AFC1D1"/>
          <w:insideV w:val="single" w:sz="6" w:space="0" w:color="AFC1D1"/>
        </w:tblBorders>
      </w:tblPr>
      <w:tblGrid>
        <w:gridCol w:w="2381"/>
        <w:gridCol w:w="2381"/>
        <w:gridCol w:w="2381"/>
        <w:gridCol w:w="2381"/>
      </w:tblGrid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953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Butir Pengendalian</w:t>
            </w:r>
          </w:p>
        </w:tc>
        <w:tc>
          <w:tcPr>
            <w:tcW w:type="dxa" w:w="158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Status</w:t>
            </w:r>
          </w:p>
        </w:tc>
        <w:tc>
          <w:tcPr>
            <w:tcW w:type="dxa" w:w="232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Catatan</w:t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1</w:t>
            </w:r>
          </w:p>
        </w:tc>
        <w:tc>
          <w:tcPr>
            <w:tcW w:type="dxa" w:w="5953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Setiap penjualan memiliki bukti transaksi yang sah.</w:t>
            </w:r>
          </w:p>
        </w:tc>
        <w:tc>
          <w:tcPr>
            <w:tcW w:type="dxa" w:w="158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□ Sesuai</w:t>
              <w:br/>
              <w:t>□ Belum</w:t>
            </w:r>
          </w:p>
        </w:tc>
        <w:tc>
          <w:tcPr>
            <w:tcW w:type="dxa" w:w="232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2</w:t>
            </w:r>
          </w:p>
        </w:tc>
        <w:tc>
          <w:tcPr>
            <w:tcW w:type="dxa" w:w="5953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Transaksi kredit hanya diberikan sesuai kebijakan dan otorisasi.</w:t>
            </w:r>
          </w:p>
        </w:tc>
        <w:tc>
          <w:tcPr>
            <w:tcW w:type="dxa" w:w="158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□ Sesuai</w:t>
              <w:br/>
              <w:t>□ Belum</w:t>
            </w:r>
          </w:p>
        </w:tc>
        <w:tc>
          <w:tcPr>
            <w:tcW w:type="dxa" w:w="232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3</w:t>
            </w:r>
          </w:p>
        </w:tc>
        <w:tc>
          <w:tcPr>
            <w:tcW w:type="dxa" w:w="5953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Invoice memuat tanggal jatuh tempo yang jelas.</w:t>
            </w:r>
          </w:p>
        </w:tc>
        <w:tc>
          <w:tcPr>
            <w:tcW w:type="dxa" w:w="158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□ Sesuai</w:t>
              <w:br/>
              <w:t>□ Belum</w:t>
            </w:r>
          </w:p>
        </w:tc>
        <w:tc>
          <w:tcPr>
            <w:tcW w:type="dxa" w:w="232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4</w:t>
            </w:r>
          </w:p>
        </w:tc>
        <w:tc>
          <w:tcPr>
            <w:tcW w:type="dxa" w:w="5953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Piutang dipantau dengan daftar jatuh tempo/aging.</w:t>
            </w:r>
          </w:p>
        </w:tc>
        <w:tc>
          <w:tcPr>
            <w:tcW w:type="dxa" w:w="158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□ Sesuai</w:t>
              <w:br/>
              <w:t>□ Belum</w:t>
            </w:r>
          </w:p>
        </w:tc>
        <w:tc>
          <w:tcPr>
            <w:tcW w:type="dxa" w:w="232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5</w:t>
            </w:r>
          </w:p>
        </w:tc>
        <w:tc>
          <w:tcPr>
            <w:tcW w:type="dxa" w:w="5953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Tindak lanjut penagihan didokumentasikan.</w:t>
            </w:r>
          </w:p>
        </w:tc>
        <w:tc>
          <w:tcPr>
            <w:tcW w:type="dxa" w:w="158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□ Sesuai</w:t>
              <w:br/>
              <w:t>□ Belum</w:t>
            </w:r>
          </w:p>
        </w:tc>
        <w:tc>
          <w:tcPr>
            <w:tcW w:type="dxa" w:w="232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6</w:t>
            </w:r>
          </w:p>
        </w:tc>
        <w:tc>
          <w:tcPr>
            <w:tcW w:type="dxa" w:w="5953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Penerimaan pelunasan dicatat segera ke pembukuan.</w:t>
            </w:r>
          </w:p>
        </w:tc>
        <w:tc>
          <w:tcPr>
            <w:tcW w:type="dxa" w:w="158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□ Sesuai</w:t>
              <w:br/>
              <w:t>□ Belum</w:t>
            </w:r>
          </w:p>
        </w:tc>
        <w:tc>
          <w:tcPr>
            <w:tcW w:type="dxa" w:w="232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7</w:t>
            </w:r>
          </w:p>
        </w:tc>
        <w:tc>
          <w:tcPr>
            <w:tcW w:type="dxa" w:w="5953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Piutang bermasalah dilaporkan kepada pimpinan.</w:t>
            </w:r>
          </w:p>
        </w:tc>
        <w:tc>
          <w:tcPr>
            <w:tcW w:type="dxa" w:w="158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□ Sesuai</w:t>
              <w:br/>
              <w:t>□ Belum</w:t>
            </w:r>
          </w:p>
        </w:tc>
        <w:tc>
          <w:tcPr>
            <w:tcW w:type="dxa" w:w="232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</w:r>
          </w:p>
        </w:tc>
      </w:tr>
    </w:tbl>
    <w:p>
      <w:pPr>
        <w:spacing w:before="160" w:after="80"/>
      </w:pPr>
      <w:r>
        <w:rPr>
          <w:b/>
          <w:color w:val="1F4E79"/>
          <w:sz w:val="22"/>
        </w:rPr>
        <w:t>I. Lampiran Formulir Siap Pakai</w:t>
      </w:r>
    </w:p>
    <w:p>
      <w:pPr>
        <w:spacing w:before="160" w:after="60"/>
      </w:pPr>
      <w:r>
        <w:rPr>
          <w:b/>
          <w:sz w:val="21"/>
        </w:rPr>
        <w:t>Lampiran 1. Form Data Pesanan / Order Penjualan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AFC1D1"/>
          <w:left w:val="single" w:sz="6" w:space="0" w:color="AFC1D1"/>
          <w:bottom w:val="single" w:sz="6" w:space="0" w:color="AFC1D1"/>
          <w:right w:val="single" w:sz="6" w:space="0" w:color="AFC1D1"/>
          <w:insideH w:val="single" w:sz="6" w:space="0" w:color="AFC1D1"/>
          <w:insideV w:val="single" w:sz="6" w:space="0" w:color="AFC1D1"/>
        </w:tblBorders>
      </w:tblPr>
      <w:tblGrid>
        <w:gridCol w:w="4762"/>
        <w:gridCol w:w="4762"/>
      </w:tblGrid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Nama Pelanggan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Tanggal Pesanan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Barang/Jasa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Jumlah / Volume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Harga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Metode Pembayaran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□ Tunai  □ Transfer  □ Kredit</w:t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Tanggal Penyerahan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Petugas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</w:tbl>
    <w:p>
      <w:pPr>
        <w:spacing w:before="160" w:after="60"/>
      </w:pPr>
      <w:r>
        <w:rPr>
          <w:b/>
          <w:sz w:val="21"/>
        </w:rPr>
        <w:t>Lampiran 2. Register Piutang Pelanggan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AFC1D1"/>
          <w:left w:val="single" w:sz="6" w:space="0" w:color="AFC1D1"/>
          <w:bottom w:val="single" w:sz="6" w:space="0" w:color="AFC1D1"/>
          <w:right w:val="single" w:sz="6" w:space="0" w:color="AFC1D1"/>
          <w:insideH w:val="single" w:sz="6" w:space="0" w:color="AFC1D1"/>
          <w:insideV w:val="single" w:sz="6" w:space="0" w:color="AFC1D1"/>
        </w:tblBorders>
      </w:tblPr>
      <w:tblGrid>
        <w:gridCol w:w="4762"/>
        <w:gridCol w:w="4762"/>
      </w:tblGrid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Nama Pelanggan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Nomor Invoice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Tanggal Invoice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Nilai Piutang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Jatuh Tempo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Status Pembayaran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Catatan Follow-up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Admin Piutang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</w:tbl>
    <w:p>
      <w:pPr>
        <w:spacing w:before="160" w:after="60"/>
      </w:pPr>
      <w:r>
        <w:rPr>
          <w:b/>
          <w:sz w:val="21"/>
        </w:rPr>
        <w:t>Lampiran 3. Log Penagihan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AFC1D1"/>
          <w:left w:val="single" w:sz="6" w:space="0" w:color="AFC1D1"/>
          <w:bottom w:val="single" w:sz="6" w:space="0" w:color="AFC1D1"/>
          <w:right w:val="single" w:sz="6" w:space="0" w:color="AFC1D1"/>
          <w:insideH w:val="single" w:sz="6" w:space="0" w:color="AFC1D1"/>
          <w:insideV w:val="single" w:sz="6" w:space="0" w:color="AFC1D1"/>
        </w:tblBorders>
      </w:tblPr>
      <w:tblGrid>
        <w:gridCol w:w="4762"/>
        <w:gridCol w:w="4762"/>
      </w:tblGrid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Tanggal Follow-up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Nama Pelanggan / Invoice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Cara Menghubungi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□ WA  □ Telepon  □ Surat  □ Kunjungan</w:t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Hasil Komunikasi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Janji Bayar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Tindak Lanjut Berikutnya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Petugas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Catatan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</w:tbl>
    <w:p>
      <w:pPr>
        <w:spacing w:before="200"/>
      </w:pPr>
      <w:r>
        <w:rPr>
          <w:b/>
          <w:color w:val="1F4E79"/>
          <w:sz w:val="22"/>
        </w:rPr>
        <w:t>9. Pengesahan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AFC1D1"/>
          <w:left w:val="single" w:sz="6" w:space="0" w:color="AFC1D1"/>
          <w:bottom w:val="single" w:sz="6" w:space="0" w:color="AFC1D1"/>
          <w:right w:val="single" w:sz="6" w:space="0" w:color="AFC1D1"/>
          <w:insideH w:val="single" w:sz="6" w:space="0" w:color="AFC1D1"/>
          <w:insideV w:val="single" w:sz="6" w:space="0" w:color="AFC1D1"/>
        </w:tblBorders>
      </w:tblPr>
      <w:tblGrid>
        <w:gridCol w:w="3175"/>
        <w:gridCol w:w="3175"/>
        <w:gridCol w:w="3175"/>
      </w:tblGrid>
      <w:tr>
        <w:tc>
          <w:tcPr>
            <w:tcW w:type="dxa" w:w="3005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9"/>
              </w:rPr>
              <w:t>Disiapkan oleh</w:t>
            </w:r>
          </w:p>
        </w:tc>
        <w:tc>
          <w:tcPr>
            <w:tcW w:type="dxa" w:w="3005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9"/>
              </w:rPr>
              <w:t>Diperiksa oleh</w:t>
            </w:r>
          </w:p>
        </w:tc>
        <w:tc>
          <w:tcPr>
            <w:tcW w:type="dxa" w:w="3005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9"/>
              </w:rPr>
              <w:t>Disahkan oleh</w:t>
            </w:r>
          </w:p>
        </w:tc>
      </w:tr>
      <w:tr>
        <w:tc>
          <w:tcPr>
            <w:tcW w:type="dxa" w:w="3005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br/>
              <w:br/>
              <w:br/>
              <w:t>Nama:</w:t>
              <w:br/>
              <w:t>Jabatan:</w:t>
              <w:br/>
              <w:t>Tanggal:</w:t>
              <w:br/>
              <w:t>Tanda Tangan:</w:t>
              <w:br/>
            </w:r>
          </w:p>
        </w:tc>
        <w:tc>
          <w:tcPr>
            <w:tcW w:type="dxa" w:w="3005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br/>
              <w:br/>
              <w:br/>
              <w:t>Nama:</w:t>
              <w:br/>
              <w:t>Jabatan:</w:t>
              <w:br/>
              <w:t>Tanggal:</w:t>
              <w:br/>
              <w:t>Tanda Tangan:</w:t>
              <w:br/>
            </w:r>
          </w:p>
        </w:tc>
        <w:tc>
          <w:tcPr>
            <w:tcW w:type="dxa" w:w="3005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br/>
              <w:br/>
              <w:br/>
              <w:t>Nama:</w:t>
              <w:br/>
              <w:t>Jabatan:</w:t>
              <w:br/>
              <w:t>Tanggal:</w:t>
              <w:br/>
              <w:t>Tanda Tangan:</w:t>
              <w:br/>
            </w:r>
          </w:p>
        </w:tc>
      </w:tr>
    </w:tbl>
    <w:sectPr w:rsidR="00FC693F" w:rsidRPr="0006063C" w:rsidSect="00034616">
      <w:pgSz w:w="11906" w:h="16838"/>
      <w:pgMar w:top="1247" w:right="1134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