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10" w:space="0" w:color="1F4E78"/>
          <w:left w:val="single" w:sz="10" w:space="0" w:color="1F4E78"/>
          <w:bottom w:val="single" w:sz="10" w:space="0" w:color="1F4E78"/>
          <w:right w:val="single" w:sz="10" w:space="0" w:color="1F4E78"/>
          <w:insideH w:val="single" w:sz="10" w:space="0" w:color="1F4E78"/>
          <w:insideV w:val="single" w:sz="10" w:space="0" w:color="1F4E78"/>
        </w:tblBorders>
      </w:tblPr>
      <w:tblGrid>
        <w:gridCol w:w="9525"/>
      </w:tblGrid>
      <w:tr>
        <w:tc>
          <w:tcPr>
            <w:tcW w:type="dxa" w:w="9525"/>
            <w:shd w:fill="1F4E78"/>
            <w:tcMar>
              <w:top w:w="110" w:type="dxa"/>
              <w:start w:w="90" w:type="dxa"/>
              <w:bottom w:w="110" w:type="dxa"/>
              <w:end w:w="9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22"/>
              </w:rPr>
              <w:t>DOKUMEN SOP BUMDes</w:t>
            </w:r>
          </w:p>
        </w:tc>
      </w:tr>
    </w:tbl>
    <w:p>
      <w:pPr>
        <w:spacing w:before="200" w:after="40"/>
        <w:jc w:val="center"/>
      </w:pPr>
      <w:r>
        <w:rPr>
          <w:b/>
          <w:color w:val="1F4E79"/>
          <w:sz w:val="32"/>
        </w:rPr>
        <w:t>SOP Pengelolaan Stok dan Persediaan BUMDes</w:t>
      </w:r>
    </w:p>
    <w:p>
      <w:pPr>
        <w:spacing w:after="240"/>
        <w:jc w:val="center"/>
      </w:pPr>
      <w:r>
        <w:rPr>
          <w:i/>
          <w:color w:val="595959"/>
          <w:sz w:val="20"/>
        </w:rPr>
        <w:t>Prosedur operasional standar pencatatan barang masuk-keluar, stok minimum, stock opname, barang rusak, dan penanganan selisih stok.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Kode Dokumen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SOP/BUMDES/13</w:t>
            </w:r>
          </w:p>
        </w:tc>
      </w:tr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Klasifikasi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Standar Operasional Prosedur</w:t>
            </w:r>
          </w:p>
        </w:tc>
      </w:tr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Status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Template siap pakai</w:t>
            </w:r>
          </w:p>
        </w:tc>
      </w:tr>
      <w:tr>
        <w:tc>
          <w:tcPr>
            <w:tcW w:type="dxa" w:w="255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Catatan</w:t>
            </w:r>
          </w:p>
        </w:tc>
        <w:tc>
          <w:tcPr>
            <w:tcW w:type="dxa" w:w="669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7FB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Dapat disesuaikan dengan Perdes, keputusan desa, dan struktur organisasi BUMDes setempat.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2381"/>
        <w:gridCol w:w="2381"/>
        <w:gridCol w:w="2381"/>
        <w:gridCol w:w="2381"/>
      </w:tblGrid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Unit Penyusun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BUMDes / Pemerintah Desa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Nomor Revisi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</w:tr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Tanggal Berlaku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Halaman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Sesuai file</w:t>
            </w:r>
          </w:p>
        </w:tc>
      </w:tr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Disahkan oleh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Dikendalikan oleh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........</w:t>
            </w:r>
          </w:p>
        </w:tc>
      </w:tr>
      <w:tr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Distribusi</w:t>
            </w:r>
          </w:p>
        </w:tc>
        <w:tc>
          <w:tcPr>
            <w:tcW w:type="dxa" w:w="357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Pengawas, Pelaksana Operasional, Unit Usaha</w:t>
            </w:r>
          </w:p>
        </w:tc>
        <w:tc>
          <w:tcPr>
            <w:tcW w:type="dxa" w:w="1814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Klasifikasi</w:t>
            </w:r>
          </w:p>
        </w:tc>
        <w:tc>
          <w:tcPr>
            <w:tcW w:type="dxa" w:w="2268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Internal Terkendali</w:t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A. Informasi Dokumen</w:t>
      </w:r>
    </w:p>
    <w:p>
      <w:pPr>
        <w:spacing w:before="160" w:after="80"/>
      </w:pPr>
      <w:r>
        <w:rPr>
          <w:b/>
          <w:color w:val="1F4E79"/>
          <w:sz w:val="22"/>
        </w:rPr>
        <w:t>B. Tujuan</w:t>
      </w:r>
    </w:p>
    <w:p>
      <w:pPr>
        <w:spacing w:after="100" w:line="276" w:lineRule="auto"/>
        <w:jc w:val="both"/>
      </w:pPr>
      <w:r>
        <w:t>Menetapkan tata kelola stok dan persediaan secara tertib agar ketersediaan barang terjaga, kehilangan/selisih dapat dikendalikan, dan keputusan pembelian tidak didasarkan pada perkiraan semata.</w:t>
      </w:r>
    </w:p>
    <w:p>
      <w:pPr>
        <w:spacing w:before="160" w:after="80"/>
      </w:pPr>
      <w:r>
        <w:rPr>
          <w:b/>
          <w:color w:val="1F4E79"/>
          <w:sz w:val="22"/>
        </w:rPr>
        <w:t>C. Ruang Lingkup</w:t>
      </w:r>
    </w:p>
    <w:p>
      <w:pPr>
        <w:spacing w:after="100" w:line="276" w:lineRule="auto"/>
        <w:jc w:val="both"/>
      </w:pPr>
      <w:r>
        <w:t>Berlaku untuk unit usaha BUMDes yang mengelola barang dagang, bahan baku, barang habis pakai, barang titipan, maupun barang sewa yang memerlukan pencatatan stok.</w:t>
      </w:r>
    </w:p>
    <w:p>
      <w:pPr>
        <w:spacing w:before="160" w:after="80"/>
      </w:pPr>
      <w:r>
        <w:rPr>
          <w:b/>
          <w:color w:val="1F4E79"/>
          <w:sz w:val="22"/>
        </w:rPr>
        <w:t>D. Dasar Hukum dan Acuan</w:t>
      </w:r>
    </w:p>
    <w:p>
      <w:pPr>
        <w:pStyle w:val="ListBullet"/>
        <w:spacing w:after="40" w:line="264" w:lineRule="auto"/>
      </w:pPr>
      <w:r>
        <w:t>Undang-Undang Nomor 6 Tahun 2014 tentang Desa beserta perubahan yang berlaku.</w:t>
      </w:r>
    </w:p>
    <w:p>
      <w:pPr>
        <w:pStyle w:val="ListBullet"/>
        <w:spacing w:after="40" w:line="264" w:lineRule="auto"/>
      </w:pPr>
      <w:r>
        <w:t>Peraturan Pemerintah Nomor 11 Tahun 2021 tentang Badan Usaha Milik Desa, yang mengatur pendirian, AD/ART, organisasi dan pegawai, rencana program kerja, kepemilikan, modal, aset dan pinjaman, unit usaha, pengadaan barang/jasa, kerja sama, pertanggungjawaban, pembagian hasil usaha, kerugian, penghentian kegiatan usaha, serta pembinaan dan pengembangan BUM Desa/BUM Desa Bersama.</w:t>
      </w:r>
    </w:p>
    <w:p>
      <w:pPr>
        <w:pStyle w:val="ListBullet"/>
        <w:spacing w:after="40" w:line="264" w:lineRule="auto"/>
      </w:pPr>
      <w:r>
        <w:t>Peraturan Menteri Desa, PDT, dan Transmigrasi Nomor 3 Tahun 2021 tentang pendaftaran, pendataan dan pemeringkatan, pembinaan dan pengembangan, dan pengadaan barang dan/atau jasa BUM Desa/BUM Desa Bersama.</w:t>
      </w:r>
    </w:p>
    <w:p>
      <w:pPr>
        <w:pStyle w:val="ListBullet"/>
        <w:spacing w:after="40" w:line="264" w:lineRule="auto"/>
      </w:pPr>
      <w:r>
        <w:t>Peraturan desa, keputusan kepala desa, keputusan penasihat/pengawas, serta kebijakan internal BUMDes yang relevan.</w:t>
      </w:r>
    </w:p>
    <w:p>
      <w:pPr>
        <w:spacing w:before="160" w:after="80"/>
      </w:pPr>
      <w:r>
        <w:rPr>
          <w:b/>
          <w:color w:val="1F4E79"/>
          <w:sz w:val="22"/>
        </w:rPr>
        <w:t>E. Definisi Singkat</w:t>
      </w:r>
    </w:p>
    <w:p>
      <w:pPr>
        <w:pStyle w:val="ListBullet"/>
        <w:spacing w:after="40" w:line="264" w:lineRule="auto"/>
      </w:pPr>
      <w:r>
        <w:t>Persediaan adalah barang yang disimpan untuk dijual, dipakai dalam operasi, atau disalurkan kepada pelanggan/mitra.</w:t>
      </w:r>
    </w:p>
    <w:p>
      <w:pPr>
        <w:pStyle w:val="ListBullet"/>
        <w:spacing w:after="40" w:line="264" w:lineRule="auto"/>
      </w:pPr>
      <w:r>
        <w:t>Stok minimum adalah jumlah batas bawah yang memicu pembelian ulang agar tidak terjadi kehabisan barang.</w:t>
      </w:r>
    </w:p>
    <w:p>
      <w:pPr>
        <w:pStyle w:val="ListBullet"/>
        <w:spacing w:after="40" w:line="264" w:lineRule="auto"/>
      </w:pPr>
      <w:r>
        <w:t>Stock opname adalah pemeriksaan fisik persediaan secara berkala untuk mencocokkan catatan dengan kondisi nyata.</w:t>
      </w:r>
    </w:p>
    <w:p>
      <w:pPr>
        <w:pStyle w:val="ListBullet"/>
        <w:spacing w:after="40" w:line="264" w:lineRule="auto"/>
      </w:pPr>
      <w:r>
        <w:t>Selisih stok adalah perbedaan antara catatan pembukuan/persediaan dengan hasil hitung fisik.</w:t>
      </w:r>
    </w:p>
    <w:p>
      <w:pPr>
        <w:spacing w:before="160" w:after="80"/>
      </w:pPr>
      <w:r>
        <w:rPr>
          <w:b/>
          <w:color w:val="1F4E79"/>
          <w:sz w:val="22"/>
        </w:rPr>
        <w:t>F. Pihak Terkait dan Tanggung Jawab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Pihak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Tanggung Jawab Utama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Pelaksana Operasional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Menetapkan kebijakan stok, batas stok minimum, dan tindak lanjut atas selisih atau barang rusak.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Penanggung Jawab Gudang/Toko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Menerima, menyimpan, mengeluarkan, dan mencatat persediaan dengan tertib.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Admin/Keuangan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Merekap mutasi stok, menyesuaikan nilai persediaan, dan menyiapkan laporan stok.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Unit Penjualan/Operasional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Menggunakan atau menjual barang sesuai bukti transaksi serta melaporkan kebutuhan pengisian ulang.</w:t>
            </w:r>
          </w:p>
        </w:tc>
      </w:tr>
      <w:tr>
        <w:tc>
          <w:tcPr>
            <w:tcW w:type="dxa" w:w="2381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Pengawas</w:t>
            </w:r>
          </w:p>
        </w:tc>
        <w:tc>
          <w:tcPr>
            <w:tcW w:type="dxa" w:w="6860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Menelaah hasil stock opname dan memeriksa penyebab selisih stok bila material.</w:t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G. Prosedur Kerja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1587"/>
        <w:gridCol w:w="1587"/>
        <w:gridCol w:w="1587"/>
        <w:gridCol w:w="1587"/>
        <w:gridCol w:w="1587"/>
        <w:gridCol w:w="1587"/>
      </w:tblGrid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Tahap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Uraian Kegiatan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PIC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Output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Batas Waktu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Penerimaan barang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Setiap barang masuk diperiksa jumlah, jenis, kualitas, dan dokumennya sebelum dicatat ke kartu stok/sistem.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PJ Gudang/Toko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Catatan barang masuk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Saat barang diterima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Penyimpanan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Barang disusun menurut kategori, kode, atau lokasi penyimpanan yang memudahkan pengambilan dan pengendalian.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PJ Gudang/Toko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Barang tersimpan rapi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Saat diterima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Pencatatan mutasi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Setiap barang masuk dan keluar wajib dicatat segera berdasarkan bukti transaksi yang sah.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PJ Gudang/Toko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Kartu stok / sistem mutasi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Harian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Pemantauan stok minimum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Penanggung jawab memeriksa item yang mendekati batas minimum untuk diusulkan pembelian ulang.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PJ Gudang/Toko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Daftar reorder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Harian/Mingguan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5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Penanganan barang rusak/kedaluwarsa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Barang rusak, hilang, atau kedaluwarsa dipisahkan dan dicatat agar tidak tercampur dengan stok layak jual/pakai.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PJ Gudang/Toko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Daftar barang rusak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Saat ditemukan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6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Stock opname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Dilakukan hitung fisik berkala untuk mencocokkan stok nyata dengan catatan administrasi.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Admin &amp; PJ Gudang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Berita acara stock opname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Bulanan / periodik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7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Analisis selisih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Setiap selisih ditelusuri penyebabnya: salah catat, kehilangan, kerusakan, retur, atau sebab lain.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Pelaksana/Admin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Berita acara selisih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Maks. 2 hari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8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Penyesuaian dan pelaporan</w:t>
            </w:r>
          </w:p>
        </w:tc>
        <w:tc>
          <w:tcPr>
            <w:tcW w:type="dxa" w:w="3969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Penyesuaian catatan dilakukan berdasarkan hasil verifikasi dan dilaporkan kepada pimpinan/pengawas.</w:t>
            </w:r>
          </w:p>
        </w:tc>
        <w:tc>
          <w:tcPr>
            <w:tcW w:type="dxa" w:w="136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Admin/Keuangan</w:t>
            </w:r>
          </w:p>
        </w:tc>
        <w:tc>
          <w:tcPr>
            <w:tcW w:type="dxa" w:w="1701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Laporan stok</w:t>
            </w:r>
          </w:p>
        </w:tc>
        <w:tc>
          <w:tcPr>
            <w:tcW w:type="dxa" w:w="113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Maks. 2 hari</w:t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H. Checklist Implementasi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2381"/>
        <w:gridCol w:w="2381"/>
        <w:gridCol w:w="2381"/>
        <w:gridCol w:w="2381"/>
      </w:tblGrid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Butir Pengendalian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Status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Catatan</w:t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1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Barang masuk dicatat berdasarkan bukti penerimaan.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2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Barang keluar dicatat berdasarkan bukti penjualan/pemakaian.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3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Stok minimum ditetapkan untuk item penting.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4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Barang rusak/kedaluwarsa dipisahkan dari stok normal.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5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Stock opname dilakukan secara periodik dan ada berita acaranya.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6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Selisih stok dianalisis serta ditindaklanjuti.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  <w:tr>
        <w:tc>
          <w:tcPr>
            <w:tcW w:type="dxa" w:w="56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  <w:t>7</w:t>
            </w:r>
          </w:p>
        </w:tc>
        <w:tc>
          <w:tcPr>
            <w:tcW w:type="dxa" w:w="5953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Laporan persediaan tersedia dan dapat ditelusuri.</w:t>
            </w:r>
          </w:p>
        </w:tc>
        <w:tc>
          <w:tcPr>
            <w:tcW w:type="dxa" w:w="1587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8"/>
              </w:rPr>
              <w:t>□ Sesuai</w:t>
              <w:br/>
              <w:t>□ Belum</w:t>
            </w:r>
          </w:p>
        </w:tc>
        <w:tc>
          <w:tcPr>
            <w:tcW w:type="dxa" w:w="2324"/>
            <w:tcMar>
              <w:top w:w="70" w:type="dxa"/>
              <w:start w:w="85" w:type="dxa"/>
              <w:bottom w:w="70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8"/>
              </w:rPr>
            </w:r>
          </w:p>
        </w:tc>
      </w:tr>
    </w:tbl>
    <w:p>
      <w:pPr>
        <w:spacing w:before="160" w:after="80"/>
      </w:pPr>
      <w:r>
        <w:rPr>
          <w:b/>
          <w:color w:val="1F4E79"/>
          <w:sz w:val="22"/>
        </w:rPr>
        <w:t>I. Lampiran Formulir Siap Pakai</w:t>
      </w:r>
    </w:p>
    <w:p>
      <w:pPr>
        <w:spacing w:before="160" w:after="60"/>
      </w:pPr>
      <w:r>
        <w:rPr>
          <w:b/>
          <w:sz w:val="21"/>
        </w:rPr>
        <w:t>Lampiran 1. Kartu Stok / Kartu Persediaan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Kode Barang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Nama Barang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Satuan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Stok Awal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Batas Minimum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Tanggal / Mutasi Masuk-Keluar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Saldo Akhir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Penanggung Jawab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</w:tbl>
    <w:p>
      <w:pPr>
        <w:spacing w:before="160" w:after="60"/>
      </w:pPr>
      <w:r>
        <w:rPr>
          <w:b/>
          <w:sz w:val="21"/>
        </w:rPr>
        <w:t>Lampiran 2. Form Barang Rusak / Kedaluwarsa / Hilang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Tanggal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Kode / Nama Barang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Jumlah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Jenis Kasus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□ Rusak  □ Kedaluwarsa  □ Hilang</w:t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Penyebab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Tindakan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Penanggung Jawab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Persetujuan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</w:tbl>
    <w:p>
      <w:pPr>
        <w:spacing w:before="160" w:after="60"/>
      </w:pPr>
      <w:r>
        <w:rPr>
          <w:b/>
          <w:sz w:val="21"/>
        </w:rPr>
        <w:t>Lampiran 3. Berita Acara Stock Opname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4762"/>
        <w:gridCol w:w="4762"/>
      </w:tblGrid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Periode Pemeriksaan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Lokasi / Unit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Nama Pemeriksa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Hasil Fisik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t>Catatan Sistem / Kartu Stok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Selisih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Kesimpulan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  <w:tr>
        <w:tc>
          <w:tcPr>
            <w:tcW w:type="dxa" w:w="3402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  <w:t>Tindak Lanjut</w:t>
            </w:r>
          </w:p>
        </w:tc>
        <w:tc>
          <w:tcPr>
            <w:tcW w:type="dxa" w:w="5839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FFFFFF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sz w:val="19"/>
              </w:rPr>
            </w:r>
          </w:p>
        </w:tc>
      </w:tr>
    </w:tbl>
    <w:p>
      <w:pPr>
        <w:spacing w:before="200"/>
      </w:pPr>
      <w:r>
        <w:rPr>
          <w:b/>
          <w:color w:val="1F4E79"/>
          <w:sz w:val="22"/>
        </w:rPr>
        <w:t>9. Pengesahan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AFC1D1"/>
          <w:left w:val="single" w:sz="6" w:space="0" w:color="AFC1D1"/>
          <w:bottom w:val="single" w:sz="6" w:space="0" w:color="AFC1D1"/>
          <w:right w:val="single" w:sz="6" w:space="0" w:color="AFC1D1"/>
          <w:insideH w:val="single" w:sz="6" w:space="0" w:color="AFC1D1"/>
          <w:insideV w:val="single" w:sz="6" w:space="0" w:color="AFC1D1"/>
        </w:tblBorders>
      </w:tblPr>
      <w:tblGrid>
        <w:gridCol w:w="3175"/>
        <w:gridCol w:w="3175"/>
        <w:gridCol w:w="3175"/>
      </w:tblGrid>
      <w:tr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Disiapkan oleh</w:t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Diperiksa oleh</w:t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  <w:shd w:fill="1F4E78"/>
          </w:tcPr>
          <w:p>
            <w:pPr>
              <w:spacing w:after="0" w:before="0" w:line="259" w:lineRule="auto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Disahkan oleh</w:t>
            </w:r>
          </w:p>
        </w:tc>
      </w:tr>
      <w:tr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3005"/>
            <w:tcMar>
              <w:top w:w="95" w:type="dxa"/>
              <w:start w:w="85" w:type="dxa"/>
              <w:bottom w:w="95" w:type="dxa"/>
              <w:end w:w="85" w:type="dxa"/>
            </w:tcMar>
            <w:vAlign w:val="center"/>
          </w:tcPr>
          <w:p>
            <w:pPr>
              <w:spacing w:after="0" w:before="0" w:line="259" w:lineRule="auto"/>
              <w:jc w:val="left"/>
            </w:pPr>
            <w:r>
              <w:rPr>
                <w:rFonts w:ascii="Arial" w:hAnsi="Arial"/>
                <w:sz w:val="19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</w:tr>
    </w:tbl>
    <w:sectPr w:rsidR="00FC693F" w:rsidRPr="0006063C" w:rsidSect="00034616">
      <w:pgSz w:w="11906" w:h="16838"/>
      <w:pgMar w:top="1247" w:right="1134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