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Kicker"/>
      </w:pPr>
      <w:r>
        <w:t>TEMPLATE OPERASIONAL BUMDes</w:t>
      </w:r>
    </w:p>
    <w:p>
      <w:pPr>
        <w:pStyle w:val="TitleCustom"/>
      </w:pPr>
      <w:r>
        <w:t>Template Analisis Kelayakan Usaha BUMDes</w:t>
      </w:r>
    </w:p>
    <w:p>
      <w:pPr>
        <w:spacing w:after="120"/>
        <w:pBdr>
          <w:bottom w:val="single" w:sz="8" w:space="1" w:color="8AA6C9"/>
        </w:pBdr>
      </w:pPr>
      <w:r>
        <w:t xml:space="preserve"> </w:t>
      </w:r>
    </w:p>
    <w:p>
      <w:pPr>
        <w:pStyle w:val="BodyCustom"/>
      </w:pPr>
      <w:r>
        <w:t>Template untuk menguji apakah ide usaha benar-benar layak dijalankan sebelum modal dikeluarkan dan keputusan usaha ditetapkan.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8" w:space="0" w:color="AAB7C8"/>
          <w:left w:val="single" w:sz="8" w:space="0" w:color="AAB7C8"/>
          <w:bottom w:val="single" w:sz="8" w:space="0" w:color="AAB7C8"/>
          <w:right w:val="single" w:sz="8" w:space="0" w:color="AAB7C8"/>
          <w:insideH w:val="single" w:sz="8" w:space="0" w:color="AAB7C8"/>
          <w:insideV w:val="single" w:sz="8" w:space="0" w:color="AAB7C8"/>
        </w:tblBorders>
      </w:tblPr>
      <w:tblGrid>
        <w:gridCol w:w="2493"/>
        <w:gridCol w:w="2493"/>
        <w:gridCol w:w="2493"/>
        <w:gridCol w:w="2493"/>
      </w:tblGrid>
      <w:tr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Kode Dokumen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TPL-BUMDES-02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</w:tcPr>
          <w:p>
            <w:r>
              <w:rPr>
                <w:b/>
                <w:color w:val="26456E"/>
              </w:rPr>
              <w:t>Versi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01</w:t>
            </w:r>
          </w:p>
        </w:tc>
      </w:tr>
      <w:tr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Status Dokumen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Siap Digunakan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</w:tcPr>
          <w:p>
            <w:r>
              <w:rPr>
                <w:b/>
                <w:color w:val="26456E"/>
              </w:rPr>
              <w:t>Tanggal Berlaku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....................</w:t>
            </w:r>
          </w:p>
        </w:tc>
      </w:tr>
      <w:tr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Pemilik Dokumen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BUMDes / BUMDesma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</w:tcPr>
          <w:p>
            <w:r>
              <w:rPr>
                <w:b/>
                <w:color w:val="26456E"/>
              </w:rPr>
              <w:t>Halaman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Diisi otomatis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8" w:space="0" w:color="AAB7C8"/>
          <w:left w:val="single" w:sz="8" w:space="0" w:color="AAB7C8"/>
          <w:bottom w:val="single" w:sz="8" w:space="0" w:color="AAB7C8"/>
          <w:right w:val="single" w:sz="8" w:space="0" w:color="AAB7C8"/>
          <w:insideH w:val="single" w:sz="8" w:space="0" w:color="AAB7C8"/>
          <w:insideV w:val="single" w:sz="8" w:space="0" w:color="AAB7C8"/>
        </w:tblBorders>
      </w:tblPr>
      <w:tblGrid>
        <w:gridCol w:w="9972"/>
      </w:tblGrid>
      <w:tr>
        <w:tc>
          <w:tcPr>
            <w:tcW w:type="dxa" w:w="997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EEF3F8"/>
          </w:tcPr>
          <w:p>
            <w:r/>
            <w:r>
              <w:rPr>
                <w:rFonts w:ascii="Arial" w:hAnsi="Arial"/>
                <w:b/>
                <w:color w:val="26456E"/>
                <w:sz w:val="22"/>
              </w:rPr>
              <w:t xml:space="preserve">Tujuan singkat: </w:t>
            </w:r>
            <w:r>
              <w:rPr>
                <w:rFonts w:ascii="Arial" w:hAnsi="Arial"/>
                <w:color w:val="1F1F1F"/>
                <w:sz w:val="22"/>
              </w:rPr>
              <w:t>Membantu BUMDes menilai kebutuhan pasar, pesaing, kebutuhan modal, estimasi penjualan, margin, dan risiko utama sebelum usaha dibuka.</w:t>
            </w:r>
          </w:p>
        </w:tc>
      </w:tr>
    </w:tbl>
    <w:p>
      <w:r>
        <w:br w:type="page"/>
      </w:r>
    </w:p>
    <w:p>
      <w:pPr>
        <w:pStyle w:val="H1"/>
      </w:pPr>
      <w:r>
        <w:t>1. Identitas dan penggunaan template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8" w:space="0" w:color="AAB7C8"/>
          <w:left w:val="single" w:sz="8" w:space="0" w:color="AAB7C8"/>
          <w:bottom w:val="single" w:sz="8" w:space="0" w:color="AAB7C8"/>
          <w:right w:val="single" w:sz="8" w:space="0" w:color="AAB7C8"/>
          <w:insideH w:val="single" w:sz="8" w:space="0" w:color="AAB7C8"/>
          <w:insideV w:val="single" w:sz="8" w:space="0" w:color="AAB7C8"/>
        </w:tblBorders>
      </w:tblPr>
      <w:tblGrid>
        <w:gridCol w:w="4986"/>
        <w:gridCol w:w="4986"/>
      </w:tblGrid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Nama template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Template Analisis Kelayakan Usaha BUMDes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Kode dokumen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TPL-BUMDES-02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Tujuan utama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Menguji usulan usaha secara lebih rasional agar BUMDes tidak menjalankan usaha ikut-ikutan atau terlalu optimistis.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Kapan digunakan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Saat ada ide usaha baru, pembukaan unit usaha baru, perubahan model usaha, atau kebutuhan tambahan modal.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Output akhir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Rekomendasi keputusan: jalankan, revisi, tunda, atau batalkan.</w:t>
            </w:r>
          </w:p>
        </w:tc>
      </w:tr>
    </w:tbl>
    <w:p>
      <w:pPr>
        <w:pStyle w:val="H1"/>
      </w:pPr>
      <w:r>
        <w:t>2. Fungsi template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Mencegah usaha dibuka hanya karena tren sesaat atau dorongan asumsi internal.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Membantu pengambil keputusan membaca potensi pasar secara lebih realistis.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Menilai estimasi penjualan, biaya, margin, dan risiko sejak awal.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Menjadi dasar pengajuan persetujuan pembukaan unit usaha atau penundaan rencana.</w:t>
      </w:r>
    </w:p>
    <w:p>
      <w:pPr>
        <w:pStyle w:val="H1"/>
      </w:pPr>
      <w:r>
        <w:t>3. Instruksi pengisian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Isi berdasarkan data lapangan, survei sederhana, observasi harga, dan informasi calon pembeli/pelanggan.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Gunakan angka estimasi yang konservatif; jangan memakai asumsi penjualan terlalu optimistis.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Jika risiko utama belum punya langkah mitigasi yang jelas, jangan buru-buru menyatakan usaha layak.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Pastikan rekomendasi akhir selaras dengan kondisi kas, SDM, dan kemampuan operasional BUMDes.</w:t>
      </w:r>
    </w:p>
    <w:p>
      <w:pPr>
        <w:pStyle w:val="H1"/>
      </w:pPr>
      <w:r>
        <w:t>4. Lembar kerja utama</w:t>
      </w:r>
    </w:p>
    <w:tbl>
      <w:tblPr>
        <w:tblW w:type="auto" w:w="0"/>
        <w:tblLayout w:type="fixed"/>
        <w:tblLook w:firstColumn="1" w:firstRow="1" w:lastColumn="0" w:lastRow="0" w:noHBand="0" w:noVBand="1" w:val="04A0"/>
        <w:jc w:val="center"/>
        <w:tblBorders>
          <w:top w:val="single" w:sz="8" w:space="0" w:color="AAB7C8"/>
          <w:left w:val="single" w:sz="8" w:space="0" w:color="AAB7C8"/>
          <w:bottom w:val="single" w:sz="8" w:space="0" w:color="AAB7C8"/>
          <w:right w:val="single" w:sz="8" w:space="0" w:color="AAB7C8"/>
          <w:insideH w:val="single" w:sz="8" w:space="0" w:color="AAB7C8"/>
          <w:insideV w:val="single" w:sz="8" w:space="0" w:color="AAB7C8"/>
        </w:tblBorders>
      </w:tblPr>
      <w:tblGrid>
        <w:gridCol w:w="2493"/>
        <w:gridCol w:w="2493"/>
        <w:gridCol w:w="2493"/>
        <w:gridCol w:w="2493"/>
      </w:tblGrid>
      <w:tr>
        <w:tc>
          <w:tcPr>
            <w:tcW w:type="dxa" w:w="283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  <w:shd w:fill="DCE6F1"/>
          </w:tcPr>
          <w:p>
            <w:pPr>
              <w:spacing w:before="20" w:after="20" w:line="240" w:lineRule="auto"/>
              <w:jc w:val="center"/>
            </w:pPr>
            <w:r>
              <w:rPr>
                <w:rFonts w:ascii="Arial" w:hAnsi="Arial"/>
                <w:b/>
                <w:color w:val="26456E"/>
                <w:sz w:val="21"/>
              </w:rPr>
              <w:t>Komponen Analisis</w:t>
            </w:r>
          </w:p>
        </w:tc>
        <w:tc>
          <w:tcPr>
            <w:tcW w:type="dxa" w:w="453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  <w:shd w:fill="DCE6F1"/>
          </w:tcPr>
          <w:p>
            <w:pPr>
              <w:spacing w:before="20" w:after="20" w:line="240" w:lineRule="auto"/>
              <w:jc w:val="center"/>
            </w:pPr>
            <w:r>
              <w:rPr>
                <w:rFonts w:ascii="Arial" w:hAnsi="Arial"/>
                <w:b/>
                <w:color w:val="26456E"/>
                <w:sz w:val="21"/>
              </w:rPr>
              <w:t>Isi / Temuan</w:t>
            </w:r>
          </w:p>
        </w:tc>
        <w:tc>
          <w:tcPr>
            <w:tcW w:type="dxa" w:w="124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  <w:shd w:fill="DCE6F1"/>
          </w:tcPr>
          <w:p>
            <w:pPr>
              <w:spacing w:before="20" w:after="20" w:line="240" w:lineRule="auto"/>
              <w:jc w:val="center"/>
            </w:pPr>
            <w:r>
              <w:rPr>
                <w:rFonts w:ascii="Arial" w:hAnsi="Arial"/>
                <w:b/>
                <w:color w:val="26456E"/>
                <w:sz w:val="21"/>
              </w:rPr>
              <w:t>Nilai 1–5</w:t>
            </w:r>
          </w:p>
        </w:tc>
        <w:tc>
          <w:tcPr>
            <w:tcW w:type="dxa" w:w="192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  <w:shd w:fill="DCE6F1"/>
          </w:tcPr>
          <w:p>
            <w:pPr>
              <w:spacing w:before="20" w:after="20" w:line="240" w:lineRule="auto"/>
              <w:jc w:val="center"/>
            </w:pPr>
            <w:r>
              <w:rPr>
                <w:rFonts w:ascii="Arial" w:hAnsi="Arial"/>
                <w:b/>
                <w:color w:val="26456E"/>
                <w:sz w:val="21"/>
              </w:rPr>
              <w:t>Catatan</w:t>
            </w:r>
          </w:p>
        </w:tc>
      </w:tr>
      <w:tr>
        <w:tc>
          <w:tcPr>
            <w:tcW w:type="dxa" w:w="283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Nama ide usaha</w:t>
            </w:r>
          </w:p>
        </w:tc>
        <w:tc>
          <w:tcPr>
            <w:tcW w:type="dxa" w:w="453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24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 xml:space="preserve"> </w:t>
            </w:r>
          </w:p>
        </w:tc>
        <w:tc>
          <w:tcPr>
            <w:tcW w:type="dxa" w:w="192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</w:tr>
      <w:tr>
        <w:tc>
          <w:tcPr>
            <w:tcW w:type="dxa" w:w="283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Masalah yang ingin diselesaikan</w:t>
            </w:r>
          </w:p>
        </w:tc>
        <w:tc>
          <w:tcPr>
            <w:tcW w:type="dxa" w:w="453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24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 xml:space="preserve"> </w:t>
            </w:r>
          </w:p>
        </w:tc>
        <w:tc>
          <w:tcPr>
            <w:tcW w:type="dxa" w:w="192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</w:tr>
      <w:tr>
        <w:tc>
          <w:tcPr>
            <w:tcW w:type="dxa" w:w="283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Target pasar</w:t>
            </w:r>
          </w:p>
        </w:tc>
        <w:tc>
          <w:tcPr>
            <w:tcW w:type="dxa" w:w="453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24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 xml:space="preserve"> </w:t>
            </w:r>
          </w:p>
        </w:tc>
        <w:tc>
          <w:tcPr>
            <w:tcW w:type="dxa" w:w="192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</w:tr>
      <w:tr>
        <w:tc>
          <w:tcPr>
            <w:tcW w:type="dxa" w:w="283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Kebutuhan pasar</w:t>
            </w:r>
          </w:p>
        </w:tc>
        <w:tc>
          <w:tcPr>
            <w:tcW w:type="dxa" w:w="453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24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 xml:space="preserve"> </w:t>
            </w:r>
          </w:p>
        </w:tc>
        <w:tc>
          <w:tcPr>
            <w:tcW w:type="dxa" w:w="192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</w:tr>
      <w:tr>
        <w:tc>
          <w:tcPr>
            <w:tcW w:type="dxa" w:w="283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Pesaing</w:t>
            </w:r>
          </w:p>
        </w:tc>
        <w:tc>
          <w:tcPr>
            <w:tcW w:type="dxa" w:w="453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24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 xml:space="preserve"> </w:t>
            </w:r>
          </w:p>
        </w:tc>
        <w:tc>
          <w:tcPr>
            <w:tcW w:type="dxa" w:w="192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</w:tr>
      <w:tr>
        <w:tc>
          <w:tcPr>
            <w:tcW w:type="dxa" w:w="283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Keunggulan lokal</w:t>
            </w:r>
          </w:p>
        </w:tc>
        <w:tc>
          <w:tcPr>
            <w:tcW w:type="dxa" w:w="453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24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 xml:space="preserve"> </w:t>
            </w:r>
          </w:p>
        </w:tc>
        <w:tc>
          <w:tcPr>
            <w:tcW w:type="dxa" w:w="192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</w:tr>
      <w:tr>
        <w:tc>
          <w:tcPr>
            <w:tcW w:type="dxa" w:w="283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Estimasi modal</w:t>
            </w:r>
          </w:p>
        </w:tc>
        <w:tc>
          <w:tcPr>
            <w:tcW w:type="dxa" w:w="453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24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 xml:space="preserve"> </w:t>
            </w:r>
          </w:p>
        </w:tc>
        <w:tc>
          <w:tcPr>
            <w:tcW w:type="dxa" w:w="192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</w:tr>
      <w:tr>
        <w:tc>
          <w:tcPr>
            <w:tcW w:type="dxa" w:w="283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Estimasi penjualan</w:t>
            </w:r>
          </w:p>
        </w:tc>
        <w:tc>
          <w:tcPr>
            <w:tcW w:type="dxa" w:w="453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24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 xml:space="preserve"> </w:t>
            </w:r>
          </w:p>
        </w:tc>
        <w:tc>
          <w:tcPr>
            <w:tcW w:type="dxa" w:w="192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</w:tr>
      <w:tr>
        <w:tc>
          <w:tcPr>
            <w:tcW w:type="dxa" w:w="283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Estimasi biaya</w:t>
            </w:r>
          </w:p>
        </w:tc>
        <w:tc>
          <w:tcPr>
            <w:tcW w:type="dxa" w:w="453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24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 xml:space="preserve"> </w:t>
            </w:r>
          </w:p>
        </w:tc>
        <w:tc>
          <w:tcPr>
            <w:tcW w:type="dxa" w:w="192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</w:tr>
      <w:tr>
        <w:tc>
          <w:tcPr>
            <w:tcW w:type="dxa" w:w="283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Estimasi margin</w:t>
            </w:r>
          </w:p>
        </w:tc>
        <w:tc>
          <w:tcPr>
            <w:tcW w:type="dxa" w:w="453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24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 xml:space="preserve"> </w:t>
            </w:r>
          </w:p>
        </w:tc>
        <w:tc>
          <w:tcPr>
            <w:tcW w:type="dxa" w:w="192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</w:tr>
      <w:tr>
        <w:tc>
          <w:tcPr>
            <w:tcW w:type="dxa" w:w="283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Risiko utama</w:t>
            </w:r>
          </w:p>
        </w:tc>
        <w:tc>
          <w:tcPr>
            <w:tcW w:type="dxa" w:w="453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124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 xml:space="preserve"> </w:t>
            </w:r>
          </w:p>
        </w:tc>
        <w:tc>
          <w:tcPr>
            <w:tcW w:type="dxa" w:w="192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</w:tr>
      <w:tr>
        <w:tc>
          <w:tcPr>
            <w:tcW w:type="dxa" w:w="283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Rekomendasi keputusan</w:t>
            </w:r>
          </w:p>
        </w:tc>
        <w:tc>
          <w:tcPr>
            <w:tcW w:type="dxa" w:w="4535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Jalankan / Revisi / Tunda / Batalkan</w:t>
            </w:r>
          </w:p>
        </w:tc>
        <w:tc>
          <w:tcPr>
            <w:tcW w:type="dxa" w:w="1247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 xml:space="preserve"> </w:t>
            </w:r>
          </w:p>
        </w:tc>
        <w:tc>
          <w:tcPr>
            <w:tcW w:type="dxa" w:w="192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</w:tr>
    </w:tbl>
    <w:p>
      <w:pPr>
        <w:pStyle w:val="H1"/>
      </w:pPr>
      <w:r>
        <w:t>5. Pedoman pembacaan hasil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Nilai total tinggi dan risiko dapat dikendalikan: usaha cenderung layak dilanjutkan.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Nilai menengah: usaha dapat dipertimbangkan dengan revisi model, target pasar, harga, atau skala uji coba.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Nilai rendah atau risiko sangat tinggi: keputusan sebaiknya ditunda atau dibatalkan sampai data dan kesiapan membaik.</w:t>
      </w:r>
    </w:p>
    <w:p>
      <w:pPr>
        <w:pStyle w:val="H1"/>
      </w:pPr>
      <w:r>
        <w:t>6. Catatan persetujuan dan tindak lanjut</w:t>
      </w:r>
    </w:p>
    <w:p>
      <w:pPr>
        <w:pStyle w:val="BodyCustom"/>
      </w:pPr>
      <w:r>
        <w:t>Template ini sebaiknya dilampirkan bersama proposal pembukaan usaha atau pengajuan modal.</w:t>
      </w:r>
    </w:p>
    <w:p>
      <w:pPr>
        <w:pStyle w:val="BodyCustom"/>
      </w:pPr>
      <w:r>
        <w:t>Keputusan akhir tetap harus mempertimbangkan kontrol kas, kapasitas pengelola, dan prioritas strategis desa.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8" w:space="0" w:color="AAB7C8"/>
          <w:left w:val="single" w:sz="8" w:space="0" w:color="AAB7C8"/>
          <w:bottom w:val="single" w:sz="8" w:space="0" w:color="AAB7C8"/>
          <w:right w:val="single" w:sz="8" w:space="0" w:color="AAB7C8"/>
          <w:insideH w:val="single" w:sz="8" w:space="0" w:color="AAB7C8"/>
          <w:insideV w:val="single" w:sz="8" w:space="0" w:color="AAB7C8"/>
        </w:tblBorders>
      </w:tblPr>
      <w:tblGrid>
        <w:gridCol w:w="4986"/>
        <w:gridCol w:w="4986"/>
      </w:tblGrid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Disusun oleh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................................................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Diperiksa oleh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................................................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Disetujui oleh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................................................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Tanggal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................................................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6B7280"/>
        <w:sz w:val="18"/>
      </w:rPr>
      <w:t>Dokumen kerja internal BUMDes - siap digunakan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</w:pPr>
    <w:r>
      <w:rPr>
        <w:rFonts w:ascii="Arial" w:hAnsi="Arial"/>
        <w:color w:val="6B7280"/>
        <w:sz w:val="18"/>
      </w:rPr>
      <w:t>BUMDes Working Template | TPL-BUMDES-02 | Template Analisis Kelayakan Usaha BUMDes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Custom">
    <w:name w:val="TitleCustom"/>
    <w:pPr>
      <w:spacing w:after="80"/>
    </w:pPr>
    <w:rPr>
      <w:rFonts w:ascii="Arial" w:hAnsi="Arial"/>
      <w:b/>
      <w:color w:val="26456E"/>
      <w:sz w:val="56"/>
    </w:rPr>
  </w:style>
  <w:style w:type="paragraph" w:customStyle="1" w:styleId="Kicker">
    <w:name w:val="Kicker"/>
    <w:pPr>
      <w:spacing w:after="120"/>
    </w:pPr>
    <w:rPr>
      <w:rFonts w:ascii="Arial" w:hAnsi="Arial"/>
      <w:b/>
      <w:color w:val="4F6B8F"/>
      <w:sz w:val="24"/>
    </w:rPr>
  </w:style>
  <w:style w:type="paragraph" w:customStyle="1" w:styleId="H1">
    <w:name w:val="H1"/>
    <w:pPr>
      <w:spacing w:before="200" w:after="120"/>
    </w:pPr>
    <w:rPr>
      <w:rFonts w:ascii="Arial" w:hAnsi="Arial"/>
      <w:b/>
      <w:color w:val="26456E"/>
      <w:sz w:val="32"/>
    </w:rPr>
  </w:style>
  <w:style w:type="paragraph" w:customStyle="1" w:styleId="BodyCustom">
    <w:name w:val="BodyCustom"/>
    <w:pPr>
      <w:spacing w:after="80" w:line="276" w:lineRule="auto"/>
    </w:pPr>
    <w:rPr>
      <w:rFonts w:ascii="Arial" w:hAnsi="Arial"/>
      <w:color w:val="1F1F1F"/>
      <w:sz w:val="22"/>
    </w:rPr>
  </w:style>
  <w:style w:type="paragraph" w:customStyle="1" w:styleId="SmallCustom">
    <w:name w:val="SmallCustom"/>
    <w:pPr>
      <w:spacing w:after="60"/>
    </w:pPr>
    <w:rPr>
      <w:rFonts w:ascii="Arial" w:hAnsi="Arial"/>
      <w:color w:val="4B5563"/>
      <w:sz w:val="19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