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Kicker"/>
      </w:pPr>
      <w:r>
        <w:t>TEMPLATE OPERASIONAL BUMDes</w:t>
      </w:r>
    </w:p>
    <w:p>
      <w:pPr>
        <w:pStyle w:val="TitleCustom"/>
      </w:pPr>
      <w:r>
        <w:t>Template Rencana Kerja dan Target Tahunan BUMDes</w:t>
      </w:r>
    </w:p>
    <w:p>
      <w:pPr>
        <w:spacing w:after="120"/>
        <w:pBdr>
          <w:bottom w:val="single" w:sz="8" w:space="1" w:color="8AA6C9"/>
        </w:pBdr>
      </w:pPr>
      <w:r>
        <w:t xml:space="preserve"> </w:t>
      </w:r>
    </w:p>
    <w:p>
      <w:pPr>
        <w:pStyle w:val="BodyCustom"/>
      </w:pPr>
      <w:r>
        <w:t>Template untuk menyusun arah kerja BUMDes selama 1 tahun agar tidak berjalan tanpa tujuan dan tanpa ukuran kinerja yang jelas.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8" w:space="0" w:color="AAB7C8"/>
          <w:left w:val="single" w:sz="8" w:space="0" w:color="AAB7C8"/>
          <w:bottom w:val="single" w:sz="8" w:space="0" w:color="AAB7C8"/>
          <w:right w:val="single" w:sz="8" w:space="0" w:color="AAB7C8"/>
          <w:insideH w:val="single" w:sz="8" w:space="0" w:color="AAB7C8"/>
          <w:insideV w:val="single" w:sz="8" w:space="0" w:color="AAB7C8"/>
        </w:tblBorders>
      </w:tblPr>
      <w:tblGrid>
        <w:gridCol w:w="2493"/>
        <w:gridCol w:w="2493"/>
        <w:gridCol w:w="2493"/>
        <w:gridCol w:w="2493"/>
      </w:tblGrid>
      <w:tr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Kode Dokumen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TPL-BUMDES-01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</w:tcPr>
          <w:p>
            <w:r>
              <w:rPr>
                <w:b/>
                <w:color w:val="26456E"/>
              </w:rPr>
              <w:t>Versi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01</w:t>
            </w:r>
          </w:p>
        </w:tc>
      </w:tr>
      <w:tr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Status Dokumen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Siap Digunakan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</w:tcPr>
          <w:p>
            <w:r>
              <w:rPr>
                <w:b/>
                <w:color w:val="26456E"/>
              </w:rPr>
              <w:t>Tanggal Berlaku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....................</w:t>
            </w:r>
          </w:p>
        </w:tc>
      </w:tr>
      <w:tr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Pemilik Dokumen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BUMDes / BUMDesma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</w:tcPr>
          <w:p>
            <w:r>
              <w:rPr>
                <w:b/>
                <w:color w:val="26456E"/>
              </w:rPr>
              <w:t>Halaman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Diisi otomatis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8" w:space="0" w:color="AAB7C8"/>
          <w:left w:val="single" w:sz="8" w:space="0" w:color="AAB7C8"/>
          <w:bottom w:val="single" w:sz="8" w:space="0" w:color="AAB7C8"/>
          <w:right w:val="single" w:sz="8" w:space="0" w:color="AAB7C8"/>
          <w:insideH w:val="single" w:sz="8" w:space="0" w:color="AAB7C8"/>
          <w:insideV w:val="single" w:sz="8" w:space="0" w:color="AAB7C8"/>
        </w:tblBorders>
      </w:tblPr>
      <w:tblGrid>
        <w:gridCol w:w="9972"/>
      </w:tblGrid>
      <w:tr>
        <w:tc>
          <w:tcPr>
            <w:tcW w:type="dxa" w:w="997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EEF3F8"/>
          </w:tcPr>
          <w:p>
            <w:r/>
            <w:r>
              <w:rPr>
                <w:rFonts w:ascii="Arial" w:hAnsi="Arial"/>
                <w:b/>
                <w:color w:val="26456E"/>
                <w:sz w:val="22"/>
              </w:rPr>
              <w:t xml:space="preserve">Tujuan singkat: </w:t>
            </w:r>
            <w:r>
              <w:rPr>
                <w:rFonts w:ascii="Arial" w:hAnsi="Arial"/>
                <w:color w:val="1F1F1F"/>
                <w:sz w:val="22"/>
              </w:rPr>
              <w:t>Membantu BUMDes merinci target usaha tahunan, fokus prioritas, target omzet, target laba, dan program kerja bulanan/kuartalan secara lebih terarah.</w:t>
            </w:r>
          </w:p>
        </w:tc>
      </w:tr>
    </w:tbl>
    <w:p>
      <w:r>
        <w:br w:type="page"/>
      </w:r>
    </w:p>
    <w:p>
      <w:pPr>
        <w:pStyle w:val="H1"/>
      </w:pPr>
      <w:r>
        <w:t>1. Identitas dan penggunaan template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8" w:space="0" w:color="AAB7C8"/>
          <w:left w:val="single" w:sz="8" w:space="0" w:color="AAB7C8"/>
          <w:bottom w:val="single" w:sz="8" w:space="0" w:color="AAB7C8"/>
          <w:right w:val="single" w:sz="8" w:space="0" w:color="AAB7C8"/>
          <w:insideH w:val="single" w:sz="8" w:space="0" w:color="AAB7C8"/>
          <w:insideV w:val="single" w:sz="8" w:space="0" w:color="AAB7C8"/>
        </w:tblBorders>
      </w:tblPr>
      <w:tblGrid>
        <w:gridCol w:w="4986"/>
        <w:gridCol w:w="4986"/>
      </w:tblGrid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Nama template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Template Rencana Kerja dan Target Tahunan BUMDes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Kode dokumen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TPL-BUMDES-01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Tujuan utama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Menjadi acuan kerja tahunan agar pengurus BUMDes tidak bekerja reaktif dan dapat mengevaluasi pencapaian secara periodik.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Kapan digunakan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Di awal tahun buku, saat revisi rencana kerja, atau saat desa meminta arah kerja dan target usaha yang lebih terukur.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Output akhir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Dokumen target tahunan, prioritas utama, program kerja, PIC, dan indikator keberhasilan yang dapat dipantau.</w:t>
            </w:r>
          </w:p>
        </w:tc>
      </w:tr>
    </w:tbl>
    <w:p>
      <w:pPr>
        <w:pStyle w:val="H1"/>
      </w:pPr>
      <w:r>
        <w:t>2. Fungsi template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Merinci target usaha tahunan secara lebih konkret dan tidak normatif.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Menyusun fokus prioritas agar sumber daya terbatas dipakai pada hal yang paling penting.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Mengaitkan target omzet, operasional, penguatan internal, dan agenda pembenahan BUMDes.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Menjadi dasar rapat kerja, evaluasi bulanan, dan penyesuaian arah di tengah tahun.</w:t>
      </w:r>
    </w:p>
    <w:p>
      <w:pPr>
        <w:pStyle w:val="H1"/>
      </w:pPr>
      <w:r>
        <w:t>3. Instruksi pengisian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Isi target dengan angka, batas waktu, dan PIC yang jelas; hindari target umum yang sulit diukur.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Pisahkan target pertumbuhan usaha dengan target pembenahan internal agar keduanya sama-sama terjaga.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Gunakan asumsi yang realistis berdasarkan data penjualan, kapasitas tim, kondisi pasar, dan kemampuan kas.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Review minimal per kuartal untuk melihat apakah target tetap relevan atau perlu disesuaikan.</w:t>
      </w:r>
    </w:p>
    <w:p>
      <w:pPr>
        <w:pStyle w:val="H1"/>
      </w:pPr>
      <w:r>
        <w:t>4. Lembar kerja utama</w:t>
      </w:r>
    </w:p>
    <w:tbl>
      <w:tblPr>
        <w:tblW w:type="auto" w:w="0"/>
        <w:tblLayout w:type="fixed"/>
        <w:tblLook w:firstColumn="1" w:firstRow="1" w:lastColumn="0" w:lastRow="0" w:noHBand="0" w:noVBand="1" w:val="04A0"/>
        <w:jc w:val="center"/>
        <w:tblBorders>
          <w:top w:val="single" w:sz="8" w:space="0" w:color="AAB7C8"/>
          <w:left w:val="single" w:sz="8" w:space="0" w:color="AAB7C8"/>
          <w:bottom w:val="single" w:sz="8" w:space="0" w:color="AAB7C8"/>
          <w:right w:val="single" w:sz="8" w:space="0" w:color="AAB7C8"/>
          <w:insideH w:val="single" w:sz="8" w:space="0" w:color="AAB7C8"/>
          <w:insideV w:val="single" w:sz="8" w:space="0" w:color="AAB7C8"/>
        </w:tblBorders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226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  <w:shd w:fill="DCE6F1"/>
          </w:tcPr>
          <w:p>
            <w:pPr>
              <w:spacing w:before="20" w:after="20" w:line="240" w:lineRule="auto"/>
              <w:jc w:val="center"/>
            </w:pPr>
            <w:r>
              <w:rPr>
                <w:rFonts w:ascii="Arial" w:hAnsi="Arial"/>
                <w:b/>
                <w:color w:val="26456E"/>
                <w:sz w:val="21"/>
              </w:rPr>
              <w:t>Komponen</w:t>
            </w:r>
          </w:p>
        </w:tc>
        <w:tc>
          <w:tcPr>
            <w:tcW w:type="dxa" w:w="464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  <w:shd w:fill="DCE6F1"/>
          </w:tcPr>
          <w:p>
            <w:pPr>
              <w:spacing w:before="20" w:after="20" w:line="240" w:lineRule="auto"/>
              <w:jc w:val="center"/>
            </w:pPr>
            <w:r>
              <w:rPr>
                <w:rFonts w:ascii="Arial" w:hAnsi="Arial"/>
                <w:b/>
                <w:color w:val="26456E"/>
                <w:sz w:val="21"/>
              </w:rPr>
              <w:t>Isi Target / Rencana</w:t>
            </w:r>
          </w:p>
        </w:tc>
        <w:tc>
          <w:tcPr>
            <w:tcW w:type="dxa" w:w="141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  <w:shd w:fill="DCE6F1"/>
          </w:tcPr>
          <w:p>
            <w:pPr>
              <w:spacing w:before="20" w:after="20" w:line="240" w:lineRule="auto"/>
              <w:jc w:val="center"/>
            </w:pPr>
            <w:r>
              <w:rPr>
                <w:rFonts w:ascii="Arial" w:hAnsi="Arial"/>
                <w:b/>
                <w:color w:val="26456E"/>
                <w:sz w:val="21"/>
              </w:rPr>
              <w:t>PIC</w:t>
            </w:r>
          </w:p>
        </w:tc>
        <w:tc>
          <w:tcPr>
            <w:tcW w:type="dxa" w:w="153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  <w:shd w:fill="DCE6F1"/>
          </w:tcPr>
          <w:p>
            <w:pPr>
              <w:spacing w:before="20" w:after="20" w:line="240" w:lineRule="auto"/>
              <w:jc w:val="center"/>
            </w:pPr>
            <w:r>
              <w:rPr>
                <w:rFonts w:ascii="Arial" w:hAnsi="Arial"/>
                <w:b/>
                <w:color w:val="26456E"/>
                <w:sz w:val="21"/>
              </w:rPr>
              <w:t>Waktu / Target</w:t>
            </w:r>
          </w:p>
        </w:tc>
        <w:tc>
          <w:tcPr>
            <w:tcW w:type="dxa" w:w="238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  <w:shd w:fill="DCE6F1"/>
          </w:tcPr>
          <w:p>
            <w:pPr>
              <w:spacing w:before="20" w:after="20" w:line="240" w:lineRule="auto"/>
              <w:jc w:val="center"/>
            </w:pPr>
            <w:r>
              <w:rPr>
                <w:rFonts w:ascii="Arial" w:hAnsi="Arial"/>
                <w:b/>
                <w:color w:val="26456E"/>
                <w:sz w:val="21"/>
              </w:rPr>
              <w:t>Indikator Keberhasilan</w:t>
            </w:r>
          </w:p>
        </w:tc>
      </w:tr>
      <w:tr>
        <w:tc>
          <w:tcPr>
            <w:tcW w:type="dxa" w:w="226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Tahun berjalan</w:t>
            </w:r>
          </w:p>
        </w:tc>
        <w:tc>
          <w:tcPr>
            <w:tcW w:type="dxa" w:w="464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41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53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Tahun ........</w:t>
            </w:r>
          </w:p>
        </w:tc>
        <w:tc>
          <w:tcPr>
            <w:tcW w:type="dxa" w:w="238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Dokumen berlaku untuk 1 tahun buku</w:t>
            </w:r>
          </w:p>
        </w:tc>
      </w:tr>
      <w:tr>
        <w:tc>
          <w:tcPr>
            <w:tcW w:type="dxa" w:w="226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Visi fokus tahun ini</w:t>
            </w:r>
          </w:p>
        </w:tc>
        <w:tc>
          <w:tcPr>
            <w:tcW w:type="dxa" w:w="464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41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53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1 tahun</w:t>
            </w:r>
          </w:p>
        </w:tc>
        <w:tc>
          <w:tcPr>
            <w:tcW w:type="dxa" w:w="238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Arah besar dipahami pengurus</w:t>
            </w:r>
          </w:p>
        </w:tc>
      </w:tr>
      <w:tr>
        <w:tc>
          <w:tcPr>
            <w:tcW w:type="dxa" w:w="226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Target omzet</w:t>
            </w:r>
          </w:p>
        </w:tc>
        <w:tc>
          <w:tcPr>
            <w:tcW w:type="dxa" w:w="464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41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53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Bulanan / Tahunan</w:t>
            </w:r>
          </w:p>
        </w:tc>
        <w:tc>
          <w:tcPr>
            <w:tcW w:type="dxa" w:w="238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Target omzet tercapai sesuai periode</w:t>
            </w:r>
          </w:p>
        </w:tc>
      </w:tr>
      <w:tr>
        <w:tc>
          <w:tcPr>
            <w:tcW w:type="dxa" w:w="226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Target laba</w:t>
            </w:r>
          </w:p>
        </w:tc>
        <w:tc>
          <w:tcPr>
            <w:tcW w:type="dxa" w:w="464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41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53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Bulanan / Tahunan</w:t>
            </w:r>
          </w:p>
        </w:tc>
        <w:tc>
          <w:tcPr>
            <w:tcW w:type="dxa" w:w="238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Margin/laba sesuai sasaran</w:t>
            </w:r>
          </w:p>
        </w:tc>
      </w:tr>
      <w:tr>
        <w:tc>
          <w:tcPr>
            <w:tcW w:type="dxa" w:w="226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Target unit usaha</w:t>
            </w:r>
          </w:p>
        </w:tc>
        <w:tc>
          <w:tcPr>
            <w:tcW w:type="dxa" w:w="464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41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53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Kuartalan</w:t>
            </w:r>
          </w:p>
        </w:tc>
        <w:tc>
          <w:tcPr>
            <w:tcW w:type="dxa" w:w="238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Unit usaha bertambah / membaik</w:t>
            </w:r>
          </w:p>
        </w:tc>
      </w:tr>
      <w:tr>
        <w:tc>
          <w:tcPr>
            <w:tcW w:type="dxa" w:w="226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Target pembenahan internal</w:t>
            </w:r>
          </w:p>
        </w:tc>
        <w:tc>
          <w:tcPr>
            <w:tcW w:type="dxa" w:w="464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41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53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Kuartalan</w:t>
            </w:r>
          </w:p>
        </w:tc>
        <w:tc>
          <w:tcPr>
            <w:tcW w:type="dxa" w:w="238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Administrasi / SOP / SDM membaik</w:t>
            </w:r>
          </w:p>
        </w:tc>
      </w:tr>
      <w:tr>
        <w:tc>
          <w:tcPr>
            <w:tcW w:type="dxa" w:w="226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Program kerja Kuartal 1</w:t>
            </w:r>
          </w:p>
        </w:tc>
        <w:tc>
          <w:tcPr>
            <w:tcW w:type="dxa" w:w="464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41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53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Jan–Mar</w:t>
            </w:r>
          </w:p>
        </w:tc>
        <w:tc>
          <w:tcPr>
            <w:tcW w:type="dxa" w:w="238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Output dan milestone tercapai</w:t>
            </w:r>
          </w:p>
        </w:tc>
      </w:tr>
      <w:tr>
        <w:tc>
          <w:tcPr>
            <w:tcW w:type="dxa" w:w="226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Program kerja Kuartal 2</w:t>
            </w:r>
          </w:p>
        </w:tc>
        <w:tc>
          <w:tcPr>
            <w:tcW w:type="dxa" w:w="464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41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53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Apr–Jun</w:t>
            </w:r>
          </w:p>
        </w:tc>
        <w:tc>
          <w:tcPr>
            <w:tcW w:type="dxa" w:w="238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Output dan milestone tercapai</w:t>
            </w:r>
          </w:p>
        </w:tc>
      </w:tr>
      <w:tr>
        <w:tc>
          <w:tcPr>
            <w:tcW w:type="dxa" w:w="226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Program kerja Kuartal 3</w:t>
            </w:r>
          </w:p>
        </w:tc>
        <w:tc>
          <w:tcPr>
            <w:tcW w:type="dxa" w:w="464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41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53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Jul–Sep</w:t>
            </w:r>
          </w:p>
        </w:tc>
        <w:tc>
          <w:tcPr>
            <w:tcW w:type="dxa" w:w="238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Output dan milestone tercapai</w:t>
            </w:r>
          </w:p>
        </w:tc>
      </w:tr>
      <w:tr>
        <w:tc>
          <w:tcPr>
            <w:tcW w:type="dxa" w:w="226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Program kerja Kuartal 4</w:t>
            </w:r>
          </w:p>
        </w:tc>
        <w:tc>
          <w:tcPr>
            <w:tcW w:type="dxa" w:w="464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41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53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Okt–Des</w:t>
            </w:r>
          </w:p>
        </w:tc>
        <w:tc>
          <w:tcPr>
            <w:tcW w:type="dxa" w:w="238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Output dan milestone tercapai</w:t>
            </w:r>
          </w:p>
        </w:tc>
      </w:tr>
    </w:tbl>
    <w:p>
      <w:pPr>
        <w:pStyle w:val="H1"/>
      </w:pPr>
      <w:r>
        <w:t>5. Pedoman pembacaan hasil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Status hijau: target jelas, PIC jelas, waktu jelas, indikator terukur, dan sumber daya tersedia.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Status kuning: target ada tetapi belum didukung asumsi, PIC, atau kapasitas yang cukup.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Status merah: target belum realistis, belum punya penanggung jawab, atau tidak didukung kas/SDM yang memadai.</w:t>
      </w:r>
    </w:p>
    <w:p>
      <w:pPr>
        <w:pStyle w:val="H1"/>
      </w:pPr>
      <w:r>
        <w:t>6. Catatan persetujuan dan tindak lanjut</w:t>
      </w:r>
    </w:p>
    <w:p>
      <w:pPr>
        <w:pStyle w:val="BodyCustom"/>
      </w:pPr>
      <w:r>
        <w:t>Hasil template ini sebaiknya dibahas dalam rapat kerja tahunan BUMDes dan ditetapkan sebagai acuan evaluasi rutin.</w:t>
      </w:r>
    </w:p>
    <w:p>
      <w:pPr>
        <w:pStyle w:val="BodyCustom"/>
      </w:pPr>
      <w:r>
        <w:t>Perubahan target di tengah tahun wajib dicatat agar pembacaan kinerja tidak bias.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8" w:space="0" w:color="AAB7C8"/>
          <w:left w:val="single" w:sz="8" w:space="0" w:color="AAB7C8"/>
          <w:bottom w:val="single" w:sz="8" w:space="0" w:color="AAB7C8"/>
          <w:right w:val="single" w:sz="8" w:space="0" w:color="AAB7C8"/>
          <w:insideH w:val="single" w:sz="8" w:space="0" w:color="AAB7C8"/>
          <w:insideV w:val="single" w:sz="8" w:space="0" w:color="AAB7C8"/>
        </w:tblBorders>
      </w:tblPr>
      <w:tblGrid>
        <w:gridCol w:w="4986"/>
        <w:gridCol w:w="4986"/>
      </w:tblGrid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Disusun oleh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................................................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Diperiksa oleh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................................................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Disetujui oleh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................................................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Tanggal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................................................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6B7280"/>
        <w:sz w:val="18"/>
      </w:rPr>
      <w:t>Dokumen kerja internal BUMDes - siap digunakan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</w:pPr>
    <w:r>
      <w:rPr>
        <w:rFonts w:ascii="Arial" w:hAnsi="Arial"/>
        <w:color w:val="6B7280"/>
        <w:sz w:val="18"/>
      </w:rPr>
      <w:t>BUMDes Working Template | TPL-BUMDES-01 | Template Rencana Kerja dan Target Tahunan BUMDes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Custom">
    <w:name w:val="TitleCustom"/>
    <w:pPr>
      <w:spacing w:after="80"/>
    </w:pPr>
    <w:rPr>
      <w:rFonts w:ascii="Arial" w:hAnsi="Arial"/>
      <w:b/>
      <w:color w:val="26456E"/>
      <w:sz w:val="56"/>
    </w:rPr>
  </w:style>
  <w:style w:type="paragraph" w:customStyle="1" w:styleId="Kicker">
    <w:name w:val="Kicker"/>
    <w:pPr>
      <w:spacing w:after="120"/>
    </w:pPr>
    <w:rPr>
      <w:rFonts w:ascii="Arial" w:hAnsi="Arial"/>
      <w:b/>
      <w:color w:val="4F6B8F"/>
      <w:sz w:val="24"/>
    </w:rPr>
  </w:style>
  <w:style w:type="paragraph" w:customStyle="1" w:styleId="H1">
    <w:name w:val="H1"/>
    <w:pPr>
      <w:spacing w:before="200" w:after="120"/>
    </w:pPr>
    <w:rPr>
      <w:rFonts w:ascii="Arial" w:hAnsi="Arial"/>
      <w:b/>
      <w:color w:val="26456E"/>
      <w:sz w:val="32"/>
    </w:rPr>
  </w:style>
  <w:style w:type="paragraph" w:customStyle="1" w:styleId="BodyCustom">
    <w:name w:val="BodyCustom"/>
    <w:pPr>
      <w:spacing w:after="80" w:line="276" w:lineRule="auto"/>
    </w:pPr>
    <w:rPr>
      <w:rFonts w:ascii="Arial" w:hAnsi="Arial"/>
      <w:color w:val="1F1F1F"/>
      <w:sz w:val="22"/>
    </w:rPr>
  </w:style>
  <w:style w:type="paragraph" w:customStyle="1" w:styleId="SmallCustom">
    <w:name w:val="SmallCustom"/>
    <w:pPr>
      <w:spacing w:after="60"/>
    </w:pPr>
    <w:rPr>
      <w:rFonts w:ascii="Arial" w:hAnsi="Arial"/>
      <w:color w:val="4B5563"/>
      <w:sz w:val="19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